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1023"/>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1023"/>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2026年度市级通用应急物资采购项目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JSZC-321300-SQHS-G2026-0003</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1023"/>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1023"/>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采购人：宿迁市发展和改革委员会</w:t>
      </w:r>
      <w:r/>
    </w:p>
    <w:p>
      <w:pPr>
        <w:pStyle w:val="1023"/>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采购代理机构：宿迁市宏晟项目管理有限公司</w:t>
      </w:r>
      <w:r/>
    </w:p>
    <w:p>
      <w:pPr>
        <w:pStyle w:val="1023"/>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2026年7月24日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60"/>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p>
    <w:p>
      <w:pPr>
        <w:pStyle w:val="860"/>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4</w:t>
      </w:r>
      <w:r>
        <w:rPr>
          <w:rFonts w:hint="eastAsia" w:ascii="宋体" w:hAnsi="宋体" w:eastAsia="宋体" w:cs="宋体"/>
          <w:b/>
          <w:color w:val="auto"/>
          <w:sz w:val="28"/>
          <w:szCs w:val="32"/>
          <w:highlight w:val="none"/>
        </w:rPr>
        <w:fldChar w:fldCharType="end"/>
      </w:r>
      <w:r/>
    </w:p>
    <w:p>
      <w:pPr>
        <w:pStyle w:val="860"/>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9</w:t>
      </w:r>
      <w:r/>
    </w:p>
    <w:p>
      <w:pPr>
        <w:pStyle w:val="860"/>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4</w:t>
      </w:r>
      <w:r/>
    </w:p>
    <w:p>
      <w:pPr>
        <w:pStyle w:val="860"/>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9</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3</w:t>
      </w:r>
      <w:r/>
    </w:p>
    <w:p>
      <w:pPr>
        <w:pStyle w:val="860"/>
        <w:shd w:val="clear" w:color="auto"/>
        <w:tabs>
          <w:tab w:val="right" w:pos="8953" w:leader="dot"/>
        </w:tabs>
        <w:rPr>
          <w:rFonts w:hint="eastAsia" w:ascii="宋体" w:hAnsi="宋体" w:eastAsia="宋体" w:cs="宋体"/>
          <w:b/>
          <w:color w:val="auto"/>
          <w:sz w:val="24"/>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9</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8</w:t>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pStyle w:val="838"/>
        <w:jc w:val="center"/>
        <w:shd w:val="clear" w:color="auto"/>
        <w:rPr>
          <w:rFonts w:hint="eastAsia" w:ascii="宋体" w:hAnsi="宋体" w:eastAsia="宋体" w:cs="宋体"/>
          <w:bCs/>
          <w:color w:val="auto"/>
          <w:sz w:val="44"/>
          <w:highlight w:val="none"/>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bookmarkStart w:id="0" w:name="_Toc15550"/>
      <w:r/>
      <w:r/>
    </w:p>
    <w:p>
      <w:pPr>
        <w:pStyle w:val="838"/>
        <w:jc w:val="center"/>
        <w:shd w:val="clear" w:color="auto"/>
        <w:rPr>
          <w:rFonts w:hint="eastAsia" w:ascii="宋体" w:hAnsi="宋体" w:eastAsia="宋体" w:cs="宋体"/>
          <w:bCs/>
          <w:color w:val="auto"/>
          <w:sz w:val="44"/>
          <w:szCs w:val="44"/>
          <w:highlight w:val="none"/>
        </w:rPr>
      </w:pPr>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宿迁市发展和改革委员会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宿迁市宏晟项目管理有限公司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2026年度市级通用应急物资采购项目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JSZC-321300-SQHS-G2026-0003</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2026年度市级通用应急物资采购项目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35393790"/>
      <w:r/>
      <w:bookmarkStart w:id="3" w:name="_Toc35393621"/>
      <w:r/>
      <w:bookmarkStart w:id="4" w:name="_Toc38985263"/>
      <w:r/>
      <w:bookmarkStart w:id="5" w:name="_Toc28359002"/>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JSZC-321300-SQHS-G2026-0003</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2026年度市级通用应急物资采购项目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100万元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最高限价，最高限价为</w:t>
      </w:r>
      <w:r>
        <w:rPr>
          <w:rFonts w:hint="eastAsia" w:ascii="宋体" w:hAnsi="宋体" w:eastAsia="宋体" w:cs="宋体"/>
          <w:color w:val="auto"/>
          <w:sz w:val="24"/>
          <w:szCs w:val="24"/>
          <w:highlight w:val="none"/>
          <w:lang w:val="en-US" w:eastAsia="zh-CN"/>
        </w:rPr>
        <w:t xml:space="preserve">100万元</w:t>
      </w:r>
      <w:r>
        <w:rPr>
          <w:rFonts w:hint="eastAsia" w:ascii="宋体" w:hAnsi="宋体" w:eastAsia="宋体" w:cs="宋体"/>
          <w:color w:val="auto"/>
          <w:sz w:val="24"/>
          <w:szCs w:val="24"/>
          <w:highlight w:val="none"/>
        </w:rPr>
        <w:t xml:space="preserve">，超过最高限价的作无效标处理。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w:t>
      </w:r>
      <w:r>
        <w:rPr>
          <w:rStyle w:val="847"/>
          <w:rFonts w:hint="eastAsia" w:ascii="宋体" w:hAnsi="宋体" w:eastAsia="宋体" w:cs="宋体"/>
          <w:color w:val="auto"/>
          <w:sz w:val="24"/>
          <w:szCs w:val="24"/>
          <w:highlight w:val="none"/>
          <w:lang w:val="en-US" w:eastAsia="zh-CN" w:bidi="ar-SA"/>
        </w:rPr>
        <w:t xml:space="preserve">本次采购应急救灾帐篷、折叠床，项目总预算100万元，核心产品为救灾帐篷。</w:t>
      </w:r>
      <w:r>
        <w:rPr>
          <w:rFonts w:hint="eastAsia" w:ascii="宋体" w:hAnsi="宋体" w:eastAsia="宋体" w:cs="宋体"/>
          <w:sz w:val="24"/>
          <w:szCs w:val="24"/>
          <w:highlight w:val="none"/>
        </w:rPr>
        <w:t xml:space="preserve">（详细内容见本招标文件第四章） </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供货期：合同签订生效后30日内。</w:t>
      </w:r>
      <w:r/>
    </w:p>
    <w:p>
      <w:pPr>
        <w:ind w:firstLine="480"/>
        <w:pageBreakBefore w:val="0"/>
        <w:spacing w:line="400" w:lineRule="exact"/>
        <w:shd w:val="clear" w:color="auto"/>
        <w:widowControl/>
        <w:rPr>
          <w:rFonts w:hint="eastAsia" w:ascii="宋体" w:hAnsi="宋体" w:eastAsia="宋体" w:cs="宋体"/>
          <w:color w:val="ff0000"/>
          <w:sz w:val="24"/>
          <w:szCs w:val="24"/>
          <w:highlight w:val="none"/>
          <w:lang w:eastAsia="zh-CN"/>
        </w:rPr>
      </w:pPr>
      <w:r>
        <w:rPr>
          <w:rFonts w:hint="eastAsia" w:ascii="宋体" w:hAnsi="宋体" w:eastAsia="宋体" w:cs="宋体"/>
          <w:color w:val="auto"/>
          <w:sz w:val="24"/>
          <w:szCs w:val="24"/>
          <w:highlight w:val="none"/>
          <w:lang w:val="en-US" w:eastAsia="zh-CN"/>
        </w:rPr>
        <w:t xml:space="preserve">质保期：6年，质保期的起始时间以验收合格之日起开始计算。</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35393622"/>
      <w:r/>
      <w:bookmarkStart w:id="8" w:name="_Toc28359003"/>
      <w:r/>
      <w:bookmarkStart w:id="9" w:name="_Toc28359080"/>
      <w:r/>
      <w:bookmarkStart w:id="10" w:name="_Toc35393791"/>
      <w:r/>
      <w:bookmarkStart w:id="11" w:name="_Toc38985264"/>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35393623"/>
      <w:r/>
      <w:bookmarkStart w:id="13" w:name="_Toc28359081"/>
      <w:r/>
      <w:bookmarkStart w:id="14" w:name="_Toc28359004"/>
      <w:r/>
      <w:bookmarkStart w:id="15" w:name="_Toc38985265"/>
      <w:r/>
      <w:bookmarkStart w:id="16" w:name="_Toc35393792"/>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17" w:name="_Toc28359082"/>
      <w:r/>
      <w:bookmarkStart w:id="18" w:name="_Toc28359005"/>
      <w:r/>
      <w:bookmarkStart w:id="19" w:name="_Toc35393624"/>
      <w:r/>
      <w:bookmarkStart w:id="20" w:name="_Toc35393793"/>
      <w:r/>
      <w:bookmarkStart w:id="21" w:name="_Toc38985266"/>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28359007"/>
      <w:r/>
      <w:bookmarkStart w:id="24" w:name="_Toc28359084"/>
      <w:r/>
      <w:bookmarkStart w:id="25" w:name="_Toc35393625"/>
      <w:r/>
      <w:bookmarkStart w:id="26" w:name="_Toc35393794"/>
      <w:r/>
      <w:bookmarkStart w:id="27" w:name="_Toc3898526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5393796"/>
      <w:r/>
      <w:bookmarkStart w:id="33" w:name="_Toc35393627"/>
      <w:r/>
      <w:bookmarkStart w:id="34" w:name="_Toc38985269"/>
      <w:r/>
      <w:bookmarkStart w:id="35" w:name="_Toc28359085"/>
      <w:r/>
      <w:bookmarkStart w:id="36" w:name="_Toc28359008"/>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.现场勘察及答疑：本项目不组织集中勘察及答疑，投标人如对采购需求有疑问，请咨询采购单位联系人。</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ascii="SimSun" w:hAnsi="SimSun" w:eastAsia="SimSun" w:cs="SimSun"/>
          <w:color w:val="000000"/>
          <w:sz w:val="24"/>
        </w:rPr>
        <w:t xml:space="preserve">财政部门监督电话：0527-84363063。</w:t>
      </w:r>
      <w:r>
        <w:rPr>
          <w:rFonts w:hint="eastAsia" w:ascii="宋体" w:hAnsi="宋体" w:eastAsia="宋体" w:cs="宋体"/>
          <w:bCs/>
          <w:color w:val="auto"/>
          <w:sz w:val="24"/>
          <w:szCs w:val="24"/>
          <w:highlight w:val="none"/>
        </w:rPr>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宿迁市发展和改革委员会</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宿迁市太湖路181号</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韩先生</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0527-84363552</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10"/>
      <w:r/>
      <w:bookmarkStart w:id="40" w:name="_Toc28359087"/>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宿迁市宏晟项目管理有限公司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宿迁市宿城区河滨街道观澜路恒大悦澜湾南门办公楼301室</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耿荣晨</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17327577521</w:t>
      </w:r>
      <w:r/>
    </w:p>
    <w:p>
      <w:pPr>
        <w:pStyle w:val="840"/>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38"/>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20823274"/>
      <w:r/>
      <w:bookmarkStart w:id="44" w:name="_Toc120614213"/>
      <w:r/>
      <w:bookmarkStart w:id="45" w:name="_Toc16938518"/>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tbl>
      <w:tblPr>
        <w:tblStyle w:val="84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cs="宋体"/>
                <w:b/>
                <w:sz w:val="24"/>
                <w:szCs w:val="24"/>
              </w:rPr>
            </w:pPr>
            <w:r/>
            <w:bookmarkStart w:id="46" w:name="_Toc513029203"/>
            <w:r/>
            <w:bookmarkStart w:id="47" w:name="_Toc20823275"/>
            <w:r/>
            <w:bookmarkStart w:id="48" w:name="_Toc120614214"/>
            <w:r/>
            <w:bookmarkStart w:id="49" w:name="_Toc16938519"/>
            <w:r>
              <w:rPr>
                <w:rFonts w:hint="eastAsia" w:ascii="宋体" w:hAnsi="宋体" w:eastAsia="宋体" w:cs="宋体"/>
                <w:b/>
                <w:bCs/>
                <w:color w:val="auto"/>
                <w:sz w:val="24"/>
                <w:szCs w:val="24"/>
                <w:highlight w:val="none"/>
              </w:rPr>
              <w:br w:type="page" w:clear="all"/>
            </w:r>
            <w:bookmarkStart w:id="50" w:name="_Toc81575191"/>
            <w:r/>
            <w:bookmarkStart w:id="51" w:name="_Toc81575154"/>
            <w:r/>
            <w:bookmarkStart w:id="52" w:name="_Toc29262"/>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53" w:name="EB9a5853ee094f4f0ea6ec3169265f6f2c"/>
            <w:r>
              <w:rPr>
                <w:rFonts w:hint="eastAsia" w:ascii="宋体" w:hAnsi="宋体" w:eastAsia="宋体" w:cs="宋体"/>
                <w:sz w:val="24"/>
                <w:szCs w:val="24"/>
              </w:rPr>
              <w:t xml:space="preserve">属性按以下第</w:t>
            </w:r>
            <w:bookmarkEnd w:id="53"/>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54" w:name="EBd5c6c026f9674c39b21b31ecd0c1e7fa"/>
            <w:r>
              <w:rPr>
                <w:rFonts w:hint="eastAsia" w:ascii="宋体" w:hAnsi="宋体" w:eastAsia="宋体" w:cs="宋体"/>
                <w:sz w:val="24"/>
                <w:szCs w:val="24"/>
              </w:rPr>
              <w:t xml:space="preserve">采购；2.</w:t>
            </w:r>
            <w:bookmarkEnd w:id="54"/>
            <w:r>
              <w:rPr>
                <w:rFonts w:hint="eastAsia" w:ascii="宋体" w:hAnsi="宋体" w:eastAsia="宋体" w:cs="宋体"/>
                <w:sz w:val="24"/>
                <w:szCs w:val="24"/>
              </w:rPr>
              <w:t xml:space="preserve">服务</w:t>
            </w:r>
            <w:bookmarkStart w:id="55" w:name="EBf7d2a4f44ecb4166a93ea852e73be69f"/>
            <w:r>
              <w:rPr>
                <w:rFonts w:hint="eastAsia" w:ascii="宋体" w:hAnsi="宋体" w:eastAsia="宋体" w:cs="宋体"/>
                <w:sz w:val="24"/>
                <w:szCs w:val="24"/>
              </w:rPr>
              <w:t xml:space="preserve">采购；3.</w:t>
            </w:r>
            <w:bookmarkEnd w:id="55"/>
            <w:r>
              <w:rPr>
                <w:rFonts w:hint="eastAsia" w:ascii="宋体" w:hAnsi="宋体" w:eastAsia="宋体" w:cs="宋体"/>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6" w:name="EBd40b5fb42f2944a3b45e579ce3941f02"/>
            <w:r/>
            <w:bookmarkEnd w:id="56"/>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w:t>
            </w:r>
            <w:r>
              <w:rPr>
                <w:rFonts w:hint="eastAsia" w:ascii="宋体" w:hAnsi="宋体" w:eastAsia="宋体" w:cs="宋体"/>
                <w:sz w:val="24"/>
                <w:szCs w:val="24"/>
              </w:rPr>
              <w:t xml:space="preserve">五</w:t>
            </w:r>
            <w:r>
              <w:rPr>
                <w:rFonts w:hint="eastAsia" w:ascii="宋体" w:hAnsi="宋体" w:eastAsia="宋体" w:cs="宋体"/>
                <w:sz w:val="24"/>
                <w:szCs w:val="24"/>
              </w:rPr>
              <w:t xml:space="preserve">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7" w:name="EBebac1462c5d9459fbda8a75065c2455d"/>
            <w:r>
              <w:rPr>
                <w:rFonts w:hint="eastAsia" w:ascii="宋体" w:hAnsi="宋体" w:eastAsia="宋体" w:cs="宋体"/>
                <w:sz w:val="24"/>
                <w:szCs w:val="24"/>
              </w:rPr>
              <w:t xml:space="preserve">本项目的非主体、非关键性工作是否允许分包</w:t>
            </w:r>
            <w:bookmarkEnd w:id="57"/>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58"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8"/>
            <w:r>
              <w:rPr>
                <w:rFonts w:hint="eastAsia" w:ascii="宋体" w:hAnsi="宋体" w:eastAsia="宋体" w:cs="宋体"/>
                <w:sz w:val="24"/>
                <w:szCs w:val="24"/>
              </w:rPr>
              <w:t xml:space="preserve">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50"/>
            <w:r/>
            <w:bookmarkEnd w:id="51"/>
            <w:r/>
            <w:bookmarkEnd w:id="5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40"/>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宋体" w:hAnsi="宋体" w:eastAsia="宋体" w:cs="宋体"/>
          <w:b w:val="0"/>
          <w:bCs w:val="0"/>
          <w:color w:val="auto"/>
          <w:sz w:val="24"/>
          <w:szCs w:val="24"/>
          <w:highlight w:val="none"/>
          <w:lang w:eastAsia="zh-CN"/>
        </w:rPr>
        <w:t xml:space="preserve">1.</w:t>
      </w:r>
      <w:bookmarkEnd w:id="60"/>
      <w:r>
        <w:rPr>
          <w:rFonts w:hint="eastAsia" w:ascii="宋体" w:hAnsi="宋体" w:eastAsia="宋体" w:cs="宋体"/>
          <w:b w:val="0"/>
          <w:bCs w:val="0"/>
          <w:color w:val="auto"/>
          <w:sz w:val="24"/>
          <w:szCs w:val="24"/>
          <w:highlight w:val="none"/>
        </w:rPr>
        <w:t xml:space="preserve">招标方式</w:t>
      </w:r>
      <w:bookmarkEnd w:id="61"/>
      <w:r/>
      <w:bookmarkEnd w:id="62"/>
      <w:r/>
      <w:bookmarkEnd w:id="6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4" w:name="_Toc513029205"/>
      <w:r/>
      <w:bookmarkStart w:id="65" w:name="_Toc16938521"/>
      <w:r/>
      <w:bookmarkStart w:id="66"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4"/>
      <w:r/>
      <w:bookmarkEnd w:id="65"/>
      <w:r/>
      <w:bookmarkEnd w:id="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7" w:name="_Toc513029206"/>
      <w:r/>
      <w:bookmarkStart w:id="68" w:name="_Toc20823278"/>
      <w:r/>
      <w:bookmarkStart w:id="69"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7"/>
      <w:r/>
      <w:bookmarkEnd w:id="68"/>
      <w:r/>
      <w:bookmarkEnd w:id="6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0" w:name="_Toc20823279"/>
      <w:r/>
      <w:bookmarkStart w:id="71" w:name="_Toc16938523"/>
      <w:r/>
      <w:bookmarkStart w:id="72" w:name="_Toc513029207"/>
      <w:r/>
      <w:bookmarkStart w:id="73" w:name="_Toc462564067"/>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0"/>
      <w:r/>
      <w:bookmarkEnd w:id="71"/>
      <w:r/>
      <w:bookmarkEnd w:id="72"/>
      <w:r/>
      <w:bookmarkEnd w:id="7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4.2.2</w:t>
      </w:r>
      <w:r>
        <w:rPr>
          <w:rFonts w:hint="eastAsia" w:ascii="宋体" w:hAnsi="宋体" w:eastAsia="宋体" w:cs="宋体"/>
          <w:color w:val="auto"/>
          <w:sz w:val="24"/>
          <w:szCs w:val="24"/>
          <w:highlight w:val="none"/>
        </w:rPr>
        <w:t xml:space="preserve">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1024"/>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sz w:val="24"/>
          <w:szCs w:val="21"/>
          <w:highlight w:val="none"/>
          <w:lang w:val="zh-CN"/>
        </w:rPr>
        <w:t xml:space="preserve">采购人支付，具体方式及标准为：</w:t>
      </w:r>
      <w:r>
        <w:rPr>
          <w:rFonts w:hint="eastAsia" w:ascii="宋体" w:hAnsi="宋体" w:eastAsia="宋体" w:cs="宋体"/>
          <w:sz w:val="24"/>
          <w:szCs w:val="21"/>
          <w:highlight w:val="none"/>
          <w:u w:val="single"/>
          <w:lang w:val="en-US"/>
        </w:rPr>
        <w:t xml:space="preserve">人民币</w:t>
      </w:r>
      <w:r>
        <w:rPr>
          <w:rFonts w:hint="eastAsia" w:ascii="宋体" w:hAnsi="宋体" w:eastAsia="宋体" w:cs="宋体"/>
          <w:sz w:val="24"/>
          <w:szCs w:val="21"/>
          <w:highlight w:val="none"/>
          <w:u w:val="single"/>
          <w:lang w:val="en-US" w:eastAsia="zh-CN"/>
        </w:rPr>
        <w:t xml:space="preserve">肆仟玖佰元零角零分</w:t>
      </w:r>
      <w:r>
        <w:rPr>
          <w:rFonts w:hint="eastAsia" w:ascii="宋体" w:hAnsi="宋体" w:eastAsia="宋体" w:cs="宋体"/>
          <w:sz w:val="24"/>
          <w:szCs w:val="21"/>
          <w:highlight w:val="none"/>
          <w:u w:val="single"/>
          <w:lang w:val="en-US"/>
        </w:rPr>
        <w:t xml:space="preserve">（¥:</w:t>
      </w:r>
      <w:r>
        <w:rPr>
          <w:rFonts w:hint="eastAsia" w:ascii="宋体" w:hAnsi="宋体" w:eastAsia="宋体" w:cs="宋体"/>
          <w:sz w:val="24"/>
          <w:szCs w:val="21"/>
          <w:highlight w:val="none"/>
          <w:u w:val="single"/>
          <w:lang w:val="en-US" w:eastAsia="zh-CN"/>
        </w:rPr>
        <w:t xml:space="preserve">49</w:t>
      </w:r>
      <w:r>
        <w:rPr>
          <w:rFonts w:hint="eastAsia" w:ascii="宋体" w:hAnsi="宋体" w:eastAsia="宋体" w:cs="宋体"/>
          <w:sz w:val="24"/>
          <w:szCs w:val="21"/>
          <w:highlight w:val="none"/>
          <w:u w:val="single"/>
          <w:lang w:val="en-US"/>
        </w:rPr>
        <w:t xml:space="preserve">00.00），</w:t>
      </w:r>
      <w:r>
        <w:rPr>
          <w:rFonts w:hint="eastAsia" w:ascii="宋体" w:hAnsi="宋体" w:eastAsia="宋体" w:cs="宋体"/>
          <w:color w:val="auto"/>
          <w:sz w:val="24"/>
          <w:szCs w:val="24"/>
          <w:highlight w:val="none"/>
          <w:u w:val="single"/>
          <w:lang w:val="zh-CN"/>
        </w:rPr>
        <w:t xml:space="preserve">支付方式可以通过转账或数字人民币等方式。</w:t>
      </w:r>
      <w:r/>
    </w:p>
    <w:p>
      <w:pPr>
        <w:pStyle w:val="841"/>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40"/>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4" w:name="_Toc20823281"/>
      <w:r/>
      <w:bookmarkStart w:id="75" w:name="_Toc16938525"/>
      <w:r/>
      <w:bookmarkStart w:id="76" w:name="_Toc513029209"/>
      <w:r/>
      <w:bookmarkStart w:id="77" w:name="_Toc120614215"/>
      <w:r>
        <w:rPr>
          <w:rFonts w:hint="eastAsia" w:ascii="宋体" w:hAnsi="宋体" w:eastAsia="宋体" w:cs="宋体"/>
          <w:b/>
          <w:bCs/>
          <w:color w:val="auto"/>
          <w:sz w:val="24"/>
          <w:szCs w:val="24"/>
          <w:highlight w:val="none"/>
        </w:rPr>
        <w:t xml:space="preserve">二、招标文件</w:t>
      </w:r>
      <w:bookmarkEnd w:id="74"/>
      <w:r/>
      <w:bookmarkEnd w:id="75"/>
      <w:r/>
      <w:bookmarkEnd w:id="76"/>
      <w:r/>
      <w:bookmarkEnd w:id="77"/>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8" w:name="_Toc20823282"/>
      <w:r/>
      <w:bookmarkStart w:id="79" w:name="_Toc16938526"/>
      <w:r/>
      <w:bookmarkStart w:id="80" w:name="_Toc513029210"/>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8"/>
      <w:r/>
      <w:bookmarkEnd w:id="79"/>
      <w:r/>
      <w:bookmarkEnd w:id="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1" w:name="_Toc462564070"/>
      <w:r/>
      <w:bookmarkStart w:id="82" w:name="_Toc16938527"/>
      <w:r/>
      <w:bookmarkStart w:id="83" w:name="_Toc513029211"/>
      <w:r/>
      <w:bookmarkStart w:id="84" w:name="_Toc20823283"/>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1"/>
      <w:r/>
      <w:bookmarkEnd w:id="82"/>
      <w:r/>
      <w:bookmarkEnd w:id="83"/>
      <w:r/>
      <w:bookmarkEnd w:id="8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841"/>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5" w:name="_Toc462564071"/>
      <w:r/>
      <w:bookmarkStart w:id="86" w:name="_Toc16938528"/>
      <w:r/>
      <w:bookmarkStart w:id="87" w:name="_Toc513029212"/>
      <w:r/>
      <w:bookmarkStart w:id="88" w:name="_Toc20823284"/>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840"/>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9" w:name="_Toc20823285"/>
      <w:r/>
      <w:bookmarkStart w:id="90" w:name="_Toc462564072"/>
      <w:r/>
      <w:bookmarkStart w:id="91" w:name="_Toc513029213"/>
      <w:r/>
      <w:bookmarkStart w:id="92" w:name="_Toc16938529"/>
      <w:r/>
      <w:bookmarkStart w:id="93" w:name="_Toc120614216"/>
      <w:r>
        <w:rPr>
          <w:rFonts w:hint="eastAsia" w:ascii="宋体" w:hAnsi="宋体" w:eastAsia="宋体" w:cs="宋体"/>
          <w:b/>
          <w:bCs/>
          <w:color w:val="auto"/>
          <w:sz w:val="24"/>
          <w:szCs w:val="24"/>
          <w:highlight w:val="none"/>
        </w:rPr>
        <w:t xml:space="preserve">三、投标文件的编制</w:t>
      </w:r>
      <w:bookmarkEnd w:id="89"/>
      <w:r/>
      <w:bookmarkEnd w:id="90"/>
      <w:r/>
      <w:bookmarkEnd w:id="91"/>
      <w:r/>
      <w:bookmarkEnd w:id="92"/>
      <w:r/>
      <w:bookmarkEnd w:id="93"/>
      <w:r/>
      <w:r/>
    </w:p>
    <w:p>
      <w:pPr>
        <w:pStyle w:val="841"/>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4" w:name="_Toc513029214"/>
      <w:r/>
      <w:bookmarkStart w:id="95" w:name="_Toc16938530"/>
      <w:r/>
      <w:bookmarkStart w:id="96" w:name="_Toc20823286"/>
      <w:r/>
      <w:bookmarkStart w:id="97" w:name="_Toc462564073"/>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4"/>
      <w:r/>
      <w:bookmarkEnd w:id="95"/>
      <w:r/>
      <w:bookmarkEnd w:id="96"/>
      <w:r/>
      <w:bookmarkEnd w:id="9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8" w:name="_Toc20823287"/>
      <w:r/>
      <w:bookmarkStart w:id="99" w:name="_Toc16938531"/>
      <w:r/>
      <w:bookmarkStart w:id="100" w:name="_Toc513029215"/>
      <w:r/>
      <w:bookmarkStart w:id="101"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8"/>
      <w:r/>
      <w:bookmarkEnd w:id="99"/>
      <w:r/>
      <w:bookmarkEnd w:id="100"/>
      <w:r/>
      <w:bookmarkEnd w:id="101"/>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2"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3" w:name="_Hlt26954838"/>
      <w:r/>
      <w:bookmarkEnd w:id="103"/>
      <w:r/>
      <w:bookmarkStart w:id="104" w:name="_Hlt26668975"/>
      <w:r/>
      <w:bookmarkEnd w:id="104"/>
      <w:r/>
      <w:bookmarkStart w:id="105" w:name="_Hlt26670360"/>
      <w:r/>
      <w:bookmarkEnd w:id="105"/>
      <w:r/>
      <w:bookmarkStart w:id="106" w:name="_Toc513029219"/>
      <w:r/>
      <w:bookmarkStart w:id="107" w:name="_Toc14577354"/>
      <w:r/>
      <w:bookmarkStart w:id="108" w:name="_Toc513029216"/>
      <w:r/>
      <w:bookmarkStart w:id="109" w:name="_Toc49090509"/>
      <w:r/>
      <w:bookmarkStart w:id="110" w:name="_Toc49090507"/>
      <w:r/>
      <w:bookmarkStart w:id="111" w:name="_Toc14577357"/>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6"/>
      <w:r/>
      <w:bookmarkEnd w:id="107"/>
      <w:r/>
      <w:bookmarkEnd w:id="108"/>
      <w:r/>
      <w:bookmarkEnd w:id="109"/>
      <w:r/>
      <w:bookmarkEnd w:id="110"/>
      <w:r/>
      <w:bookmarkEnd w:id="11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2" w:name="_Toc14577355"/>
      <w:r/>
      <w:bookmarkStart w:id="113"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41"/>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2"/>
      <w:r/>
      <w:bookmarkStart w:id="114" w:name="_Hlt26670373"/>
      <w:r/>
      <w:bookmarkEnd w:id="114"/>
      <w:r>
        <w:rPr>
          <w:rFonts w:hint="eastAsia" w:ascii="宋体" w:hAnsi="宋体" w:eastAsia="宋体" w:cs="宋体"/>
          <w:b w:val="0"/>
          <w:bCs w:val="0"/>
          <w:color w:val="auto"/>
          <w:sz w:val="24"/>
          <w:szCs w:val="24"/>
          <w:highlight w:val="none"/>
        </w:rPr>
        <w:t xml:space="preserve">表</w:t>
      </w:r>
      <w:bookmarkEnd w:id="11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5" w:name="_Hlt26954840"/>
      <w:r/>
      <w:bookmarkEnd w:id="115"/>
      <w:r>
        <w:rPr>
          <w:rFonts w:hint="eastAsia" w:ascii="宋体" w:hAnsi="宋体" w:eastAsia="宋体" w:cs="宋体"/>
          <w:color w:val="auto"/>
          <w:sz w:val="24"/>
          <w:szCs w:val="24"/>
          <w:highlight w:val="none"/>
        </w:rPr>
        <w:t xml:space="preserve">标人应按照招标文件规定格式填报投标分项报价表</w:t>
      </w:r>
      <w:bookmarkStart w:id="116" w:name="_Hlt26670399"/>
      <w:r/>
      <w:bookmarkEnd w:id="116"/>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7" w:name="_Hlt26670425"/>
      <w:r/>
      <w:bookmarkEnd w:id="117"/>
      <w:r/>
      <w:bookmarkStart w:id="118" w:name="_Hlt26954846"/>
      <w:r/>
      <w:bookmarkEnd w:id="118"/>
      <w:r/>
      <w:bookmarkStart w:id="119" w:name="_Hlt26954844"/>
      <w:r/>
      <w:bookmarkEnd w:id="119"/>
      <w:r/>
      <w:bookmarkStart w:id="120" w:name="_Hlt26670482"/>
      <w:r/>
      <w:bookmarkEnd w:id="120"/>
      <w:r/>
      <w:bookmarkStart w:id="121" w:name="_Hlt26954731"/>
      <w:r/>
      <w:bookmarkEnd w:id="121"/>
      <w:r/>
      <w:bookmarkStart w:id="122" w:name="_Hlt26670403"/>
      <w:r/>
      <w:bookmarkEnd w:id="122"/>
      <w:r/>
      <w:bookmarkStart w:id="123" w:name="_Hlt26670486"/>
      <w:r/>
      <w:bookmarkEnd w:id="123"/>
      <w:r/>
      <w:bookmarkStart w:id="124" w:name="_Hlt26954842"/>
      <w:r/>
      <w:bookmarkEnd w:id="124"/>
      <w:r/>
      <w:bookmarkStart w:id="125" w:name="_Hlt26954848"/>
      <w:r/>
      <w:bookmarkEnd w:id="125"/>
      <w:r/>
      <w:bookmarkStart w:id="126" w:name="_Hlt26668983"/>
      <w:r/>
      <w:bookmarkEnd w:id="126"/>
      <w:r/>
      <w:bookmarkStart w:id="127" w:name="_Toc49090510"/>
      <w:r/>
      <w:bookmarkStart w:id="128" w:name="_Toc14577359"/>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7"/>
      <w:r/>
      <w:bookmarkEnd w:id="128"/>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9" w:name="_Hlt26670489"/>
      <w:r/>
      <w:bookmarkEnd w:id="129"/>
      <w:r/>
      <w:bookmarkStart w:id="130" w:name="_Hlt26954850"/>
      <w:r/>
      <w:bookmarkEnd w:id="130"/>
      <w:r/>
      <w:bookmarkStart w:id="131" w:name="_Hlt26954734"/>
      <w:r/>
      <w:bookmarkEnd w:id="131"/>
      <w:r/>
      <w:bookmarkStart w:id="132" w:name="_Toc49090511"/>
      <w:r/>
      <w:bookmarkStart w:id="133"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2"/>
      <w:r/>
      <w:bookmarkEnd w:id="13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84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4" w:name="_Hlt26954852"/>
      <w:r/>
      <w:bookmarkEnd w:id="134"/>
      <w:r/>
      <w:bookmarkStart w:id="135" w:name="_Hlt26954739"/>
      <w:r/>
      <w:bookmarkEnd w:id="135"/>
      <w:r/>
      <w:bookmarkStart w:id="136" w:name="_Toc120614217"/>
      <w:r/>
      <w:bookmarkStart w:id="137" w:name="_Toc16938540"/>
      <w:r/>
      <w:bookmarkStart w:id="138" w:name="_Toc513029224"/>
      <w:r/>
      <w:bookmarkStart w:id="139" w:name="_Toc20823296"/>
      <w:r>
        <w:rPr>
          <w:rFonts w:hint="eastAsia" w:ascii="宋体" w:hAnsi="宋体" w:eastAsia="宋体" w:cs="宋体"/>
          <w:b/>
          <w:bCs/>
          <w:color w:val="auto"/>
          <w:sz w:val="24"/>
          <w:szCs w:val="24"/>
          <w:highlight w:val="none"/>
        </w:rPr>
        <w:t xml:space="preserve">四、投标文件的递交</w:t>
      </w:r>
      <w:bookmarkEnd w:id="136"/>
      <w:r/>
      <w:bookmarkEnd w:id="137"/>
      <w:r/>
      <w:bookmarkEnd w:id="138"/>
      <w:r/>
      <w:bookmarkEnd w:id="139"/>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0" w:name="_Toc513029225"/>
      <w:r/>
      <w:bookmarkStart w:id="141" w:name="_Toc20823297"/>
      <w:r/>
      <w:bookmarkStart w:id="142" w:name="_Toc16938541"/>
      <w:r/>
      <w:bookmarkStart w:id="143" w:name="_Toc462564084"/>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0"/>
      <w:r/>
      <w:bookmarkEnd w:id="141"/>
      <w:r/>
      <w:bookmarkEnd w:id="142"/>
      <w:r/>
      <w:bookmarkEnd w:id="143"/>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4" w:name="_Toc513029226"/>
      <w:r/>
      <w:bookmarkStart w:id="145" w:name="_Toc16938542"/>
      <w:r/>
      <w:bookmarkStart w:id="146" w:name="_Toc208232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4"/>
      <w:r/>
      <w:bookmarkEnd w:id="145"/>
      <w:r/>
      <w:bookmarkEnd w:id="146"/>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7" w:name="_Toc513029227"/>
      <w:r/>
      <w:bookmarkStart w:id="148" w:name="_Toc16938543"/>
      <w:r/>
      <w:bookmarkStart w:id="149"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7"/>
      <w:r/>
      <w:bookmarkEnd w:id="148"/>
      <w:r/>
      <w:bookmarkEnd w:id="149"/>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0" w:name="_Toc16938544"/>
      <w:r/>
      <w:bookmarkStart w:id="151" w:name="_Toc513029228"/>
      <w:r/>
      <w:bookmarkStart w:id="152" w:name="_Toc20823300"/>
      <w:r/>
      <w:bookmarkStart w:id="153" w:name="_Toc120614218"/>
      <w:r/>
      <w:bookmarkStart w:id="154" w:name="_Toc20823301"/>
      <w:r/>
      <w:bookmarkStart w:id="155" w:name="_Toc513029229"/>
      <w:r/>
      <w:bookmarkStart w:id="156"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0"/>
      <w:r/>
      <w:bookmarkEnd w:id="151"/>
      <w:r/>
      <w:bookmarkEnd w:id="15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84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3"/>
      <w:r/>
      <w:bookmarkEnd w:id="154"/>
      <w:r/>
      <w:bookmarkEnd w:id="155"/>
      <w:r/>
      <w:bookmarkEnd w:id="156"/>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16938546"/>
      <w:r/>
      <w:bookmarkStart w:id="158" w:name="_Toc20823302"/>
      <w:r/>
      <w:bookmarkStart w:id="159" w:name="_Toc513029230"/>
      <w:r/>
      <w:bookmarkStart w:id="160" w:name="_Toc513029231"/>
      <w:r/>
      <w:bookmarkStart w:id="161" w:name="_Toc20823303"/>
      <w:r/>
      <w:bookmarkStart w:id="162" w:name="_Toc16938547"/>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7"/>
      <w:r/>
      <w:bookmarkEnd w:id="158"/>
      <w:r/>
      <w:bookmarkEnd w:id="159"/>
      <w:r/>
      <w:r/>
    </w:p>
    <w:p>
      <w:pPr>
        <w:pStyle w:val="1026"/>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026"/>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0"/>
      <w:r/>
      <w:bookmarkEnd w:id="161"/>
      <w:r/>
      <w:bookmarkEnd w:id="16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3" w:name="_Toc16938548"/>
      <w:r/>
      <w:bookmarkStart w:id="164" w:name="_Toc20823304"/>
      <w:r/>
      <w:bookmarkStart w:id="165" w:name="_Toc513029232"/>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3"/>
      <w:r/>
      <w:bookmarkEnd w:id="164"/>
      <w:r/>
      <w:bookmarkEnd w:id="16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1026"/>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6" w:name="_Toc20823305"/>
      <w:r/>
      <w:bookmarkStart w:id="167" w:name="_Toc513029233"/>
      <w:r/>
      <w:bookmarkStart w:id="168" w:name="_Toc16938549"/>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6"/>
      <w:r/>
      <w:bookmarkEnd w:id="167"/>
      <w:r/>
      <w:bookmarkEnd w:id="16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宋体" w:cs="宋体"/>
          <w:bCs/>
          <w:color w:val="auto"/>
          <w:sz w:val="24"/>
          <w:highlight w:val="none"/>
        </w:rPr>
        <w:t xml:space="preserve">；供应商不能证明其报价合理性的，评委会</w:t>
      </w:r>
      <w:r>
        <w:rPr>
          <w:rFonts w:hint="eastAsia" w:ascii="宋体" w:hAnsi="宋体" w:eastAsia="宋体" w:cs="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9" w:name="_Toc16938550"/>
      <w:r/>
      <w:bookmarkStart w:id="170" w:name="_Toc513029234"/>
      <w:r/>
      <w:bookmarkStart w:id="171"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9"/>
      <w:r/>
      <w:bookmarkEnd w:id="170"/>
      <w:r/>
      <w:bookmarkEnd w:id="171"/>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2" w:name="_Toc16938551"/>
      <w:r/>
      <w:bookmarkStart w:id="173" w:name="_Toc513029235"/>
      <w:r/>
      <w:bookmarkStart w:id="174"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84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5" w:name="_Toc120614219"/>
      <w:r>
        <w:rPr>
          <w:rFonts w:hint="eastAsia" w:ascii="宋体" w:hAnsi="宋体" w:eastAsia="宋体" w:cs="宋体"/>
          <w:b/>
          <w:bCs/>
          <w:color w:val="auto"/>
          <w:sz w:val="24"/>
          <w:szCs w:val="24"/>
          <w:highlight w:val="none"/>
        </w:rPr>
        <w:t xml:space="preserve">六、</w:t>
      </w:r>
      <w:bookmarkEnd w:id="172"/>
      <w:r/>
      <w:bookmarkEnd w:id="173"/>
      <w:r/>
      <w:bookmarkEnd w:id="174"/>
      <w:r>
        <w:rPr>
          <w:rFonts w:hint="eastAsia" w:ascii="宋体" w:hAnsi="宋体" w:eastAsia="宋体" w:cs="宋体"/>
          <w:b/>
          <w:bCs/>
          <w:color w:val="auto"/>
          <w:sz w:val="24"/>
          <w:szCs w:val="24"/>
          <w:highlight w:val="none"/>
        </w:rPr>
        <w:t xml:space="preserve">定标</w:t>
      </w:r>
      <w:bookmarkEnd w:id="175"/>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6" w:name="_Toc513029238"/>
      <w:r/>
      <w:bookmarkStart w:id="177" w:name="_Toc20823310"/>
      <w:r/>
      <w:bookmarkStart w:id="178" w:name="_Toc16938554"/>
      <w:r>
        <w:rPr>
          <w:rFonts w:hint="eastAsia" w:ascii="宋体" w:hAnsi="宋体" w:eastAsia="宋体" w:cs="宋体"/>
          <w:b w:val="0"/>
          <w:color w:val="auto"/>
          <w:sz w:val="24"/>
          <w:szCs w:val="24"/>
          <w:highlight w:val="none"/>
          <w:lang w:eastAsia="zh-CN"/>
        </w:rPr>
        <w:t xml:space="preserve">28.</w:t>
      </w:r>
      <w:bookmarkEnd w:id="176"/>
      <w:r>
        <w:rPr>
          <w:rFonts w:hint="eastAsia" w:ascii="宋体" w:hAnsi="宋体" w:eastAsia="宋体" w:cs="宋体"/>
          <w:b w:val="0"/>
          <w:color w:val="auto"/>
          <w:sz w:val="24"/>
          <w:szCs w:val="24"/>
          <w:highlight w:val="none"/>
        </w:rPr>
        <w:t xml:space="preserve">确定</w:t>
      </w:r>
      <w:bookmarkEnd w:id="177"/>
      <w:r/>
      <w:bookmarkEnd w:id="178"/>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9"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9"/>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宿迁市发展和改革委员会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宿迁市宏晟项目管理有限公司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0527-84363552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17327577521</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宿迁市太湖路181号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宿迁市宿城区河滨街道观澜路恒大悦澜湾南门办公楼301室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16938552"/>
      <w:r/>
      <w:bookmarkStart w:id="181" w:name="_Toc120614220"/>
      <w:r/>
      <w:bookmarkStart w:id="182" w:name="_Toc20823308"/>
      <w:r/>
      <w:bookmarkStart w:id="183" w:name="_Toc513029236"/>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840"/>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0"/>
      <w:r/>
      <w:bookmarkEnd w:id="181"/>
      <w:r/>
      <w:bookmarkEnd w:id="182"/>
      <w:r/>
      <w:bookmarkEnd w:id="183"/>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4" w:name="_Toc513029237"/>
      <w:r/>
      <w:bookmarkStart w:id="185" w:name="_Toc16938553"/>
      <w:r/>
      <w:bookmarkStart w:id="186" w:name="_Toc20823309"/>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4"/>
      <w:r/>
      <w:bookmarkEnd w:id="185"/>
      <w:r/>
      <w:bookmarkEnd w:id="186"/>
      <w:r/>
      <w:r/>
    </w:p>
    <w:p>
      <w:pPr>
        <w:pStyle w:val="841"/>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849"/>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41"/>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w:t>
      </w:r>
      <w:r>
        <w:rPr>
          <w:rFonts w:hint="eastAsia" w:ascii="宋体" w:hAnsi="宋体" w:eastAsia="宋体" w:cs="宋体"/>
          <w:bCs/>
          <w:color w:val="auto"/>
          <w:sz w:val="24"/>
          <w:szCs w:val="24"/>
          <w:highlight w:val="none"/>
          <w:lang w:val="en-US" w:eastAsia="zh-CN"/>
        </w:rPr>
        <w:t xml:space="preserve">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34.2中标供应商根据招标要求进行产品的供货，在货物进场 15 日内，由采购人或采购人聘请技术专家或专业检测机构进行验收，因此支出的相关费用（包括但不限于检测费用及出具质量检测报告费用）均由中标供应商承担。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w:t>
      </w:r>
      <w:r>
        <w:rPr>
          <w:rStyle w:val="847"/>
          <w:rFonts w:hint="eastAsia" w:ascii="宋体" w:hAnsi="宋体" w:eastAsia="宋体" w:cs="宋体"/>
          <w:bCs/>
          <w:color w:val="auto"/>
          <w:sz w:val="24"/>
          <w:szCs w:val="21"/>
          <w:highlight w:val="none"/>
          <w:lang w:val="en-US" w:eastAsia="zh-CN" w:bidi="ar-SA"/>
        </w:rPr>
        <w:t xml:space="preserve">产品不能通过采购人验收的，供应商应在采购人规定的期限内进行整改，</w:t>
      </w:r>
      <w:r>
        <w:rPr>
          <w:rFonts w:hint="eastAsia" w:ascii="宋体" w:hAnsi="宋体" w:eastAsia="宋体" w:cs="宋体"/>
          <w:color w:val="auto"/>
          <w:sz w:val="24"/>
          <w:highlight w:val="none"/>
        </w:rPr>
        <w:t xml:space="preserve">整改后仍不能通过验收的，采购人有权聘请第三方进行整改，由此产生的费用由供应商承担（费用总额不超过本合同总额），同时供应商还应承担逾期支付服务项目的违约责任，按合同约定向采购单位支付违约金，给采购单位造成经济损失的，还应赔偿损失金</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7"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7"/>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8"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w:t>
      </w:r>
      <w:r>
        <w:rPr>
          <w:rStyle w:val="847"/>
          <w:rFonts w:hint="eastAsia" w:ascii="宋体" w:hAnsi="宋体" w:eastAsia="宋体" w:cs="宋体"/>
          <w:color w:val="auto"/>
          <w:sz w:val="24"/>
          <w:szCs w:val="24"/>
          <w:highlight w:val="none"/>
          <w:lang w:val="en-US" w:eastAsia="zh-CN" w:bidi="ar-SA"/>
        </w:rPr>
        <w:t xml:space="preserve">项目供货完成经验收合格，采购人自收到供应商发票之日起10个工作日内付至合同价款的100%</w:t>
      </w:r>
      <w:r>
        <w:rPr>
          <w:rFonts w:hint="eastAsia" w:ascii="宋体" w:hAnsi="宋体" w:eastAsia="宋体" w:cs="宋体"/>
          <w:bCs/>
          <w:color w:val="auto"/>
          <w:sz w:val="24"/>
          <w:szCs w:val="24"/>
          <w:highlight w:val="none"/>
          <w:lang w:val="en-US" w:eastAsia="zh-CN"/>
        </w:rPr>
        <w:t xml:space="preserve">。</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838"/>
        <w:jc w:val="center"/>
        <w:shd w:val="clear" w:color="auto"/>
        <w:rPr>
          <w:rFonts w:hint="eastAsia" w:ascii="宋体" w:hAnsi="宋体" w:eastAsia="宋体" w:cs="宋体"/>
          <w:b/>
          <w:bCs w:val="0"/>
          <w:color w:val="auto"/>
          <w:sz w:val="44"/>
          <w:highlight w:val="none"/>
          <w:lang w:eastAsia="zh-CN"/>
        </w:rPr>
      </w:pPr>
      <w:r/>
      <w:bookmarkStart w:id="189" w:name="_Toc8406"/>
      <w:r>
        <w:rPr>
          <w:rFonts w:hint="eastAsia" w:ascii="宋体" w:hAnsi="宋体" w:eastAsia="宋体" w:cs="宋体"/>
          <w:b/>
          <w:bCs w:val="0"/>
          <w:color w:val="auto"/>
          <w:sz w:val="44"/>
          <w:highlight w:val="none"/>
        </w:rPr>
        <w:t xml:space="preserve">第三章  合同文本</w:t>
      </w:r>
      <w:bookmarkEnd w:id="189"/>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0" w:name="_Hlt16619369"/>
      <w:r/>
      <w:bookmarkEnd w:id="190"/>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甲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签订时间：</w:t>
      </w:r>
      <w:r>
        <w:rPr>
          <w:rFonts w:hint="eastAsia" w:ascii="宋体" w:hAnsi="宋体" w:eastAsia="宋体" w:cs="宋体"/>
          <w:sz w:val="28"/>
          <w:szCs w:val="28"/>
          <w:u w:val="single"/>
        </w:rPr>
        <w:t xml:space="preserve">                             </w:t>
      </w:r>
      <w:r/>
    </w:p>
    <w:p>
      <w:pPr>
        <w:rPr>
          <w:rFonts w:hint="eastAsia" w:ascii="宋体" w:hAnsi="宋体" w:eastAsia="宋体" w:cs="宋体"/>
          <w:szCs w:val="22"/>
        </w:rPr>
      </w:pPr>
      <w:r>
        <w:rPr>
          <w:rFonts w:hint="eastAsia" w:ascii="宋体" w:hAnsi="宋体" w:eastAsia="宋体" w:cs="宋体"/>
          <w:szCs w:val="22"/>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宋体" w:hAnsi="宋体" w:eastAsia="宋体" w:cs="宋体"/>
          <w:sz w:val="32"/>
          <w:szCs w:val="32"/>
        </w:rPr>
      </w:pPr>
      <w:r>
        <w:rPr>
          <w:rFonts w:hint="eastAsia" w:ascii="宋体" w:hAnsi="宋体" w:eastAsia="宋体" w:cs="宋体"/>
          <w:sz w:val="32"/>
          <w:szCs w:val="32"/>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1.本合同标准文本适用于购买现成货物的采购项目，不包括需要供应商定制开发、创新研发的货物采购项目。</w:t>
      </w:r>
      <w:r/>
    </w:p>
    <w:p>
      <w:pPr>
        <w:rPr>
          <w:rFonts w:hint="eastAsia" w:ascii="宋体" w:hAnsi="宋体" w:eastAsia="宋体" w:cs="宋体"/>
          <w:sz w:val="28"/>
          <w:szCs w:val="28"/>
        </w:rPr>
      </w:pPr>
      <w:r>
        <w:rPr>
          <w:rFonts w:hint="eastAsia" w:ascii="宋体" w:hAnsi="宋体" w:eastAsia="宋体" w:cs="宋体"/>
          <w:sz w:val="28"/>
          <w:szCs w:val="28"/>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eastAsia="宋体" w:cs="宋体"/>
          <w:sz w:val="44"/>
          <w:szCs w:val="44"/>
        </w:rPr>
        <w:sectPr>
          <w:footerReference w:type="default" r:id="rId14"/>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sz w:val="44"/>
          <w:szCs w:val="44"/>
        </w:rPr>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t xml:space="preserve">第一节 政府采购合同协议书</w:t>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r>
      <w:r/>
    </w:p>
    <w:p>
      <w:pPr>
        <w:spacing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rPr>
          <w:rFonts w:hint="eastAsia" w:ascii="宋体" w:hAnsi="宋体" w:eastAsia="宋体" w:cs="宋体"/>
          <w:szCs w:val="21"/>
        </w:rPr>
        <w:t xml:space="preserve">（采购人、受采购人委托签订合同的单位或采购文件约定的合同甲方）</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乙方1（全称）：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乙方2（全称）：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1"/>
        </w:rPr>
      </w:pPr>
      <w:r>
        <w:rPr>
          <w:rFonts w:hint="eastAsia" w:ascii="宋体" w:hAnsi="宋体" w:eastAsia="宋体" w:cs="宋体"/>
          <w:szCs w:val="22"/>
        </w:rPr>
        <w:t xml:space="preserve">乙方</w:t>
      </w:r>
      <w:r>
        <w:rPr>
          <w:rFonts w:hint="eastAsia" w:ascii="宋体" w:hAnsi="宋体" w:eastAsia="宋体" w:cs="宋体"/>
          <w:szCs w:val="21"/>
        </w:rPr>
        <w:t xml:space="preserve">3</w:t>
      </w:r>
      <w:r>
        <w:rPr>
          <w:rFonts w:hint="eastAsia" w:ascii="宋体" w:hAnsi="宋体" w:eastAsia="宋体" w:cs="宋体"/>
          <w:szCs w:val="22"/>
        </w:rPr>
        <w:t xml:space="preserve">（全称）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2"/>
        </w:rPr>
      </w:pPr>
      <w:r>
        <w:rPr>
          <w:rFonts w:hint="eastAsia" w:ascii="宋体" w:hAnsi="宋体" w:eastAsia="宋体" w:cs="宋体"/>
          <w:szCs w:val="22"/>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依据《中华人民共和国民法典</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项目信息</w:t>
      </w:r>
      <w:r/>
    </w:p>
    <w:p>
      <w:pPr>
        <w:numPr>
          <w:ilvl w:val="0"/>
          <w:numId w:val="4"/>
        </w:num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采购项目名称：</w:t>
      </w:r>
      <w:r>
        <w:rPr>
          <w:rFonts w:hint="eastAsia" w:ascii="宋体" w:hAnsi="宋体" w:eastAsia="宋体" w:cs="宋体"/>
          <w:szCs w:val="21"/>
          <w:u w:val="single"/>
        </w:rPr>
        <w:t xml:space="preserve">                                          </w:t>
      </w:r>
      <w:r/>
    </w:p>
    <w:p>
      <w:pPr>
        <w:spacing w:line="400" w:lineRule="exact"/>
        <w:tabs>
          <w:tab w:val="left" w:pos="999" w:leader="none"/>
        </w:tabs>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 xml:space="preserve">/个/架/组等</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p>
    <w:p>
      <w:pPr>
        <w:ind w:firstLine="945"/>
        <w:spacing w:line="400" w:lineRule="exact"/>
        <w:rPr>
          <w:rFonts w:hint="eastAsia" w:ascii="宋体" w:hAnsi="宋体" w:eastAsia="宋体" w:cs="宋体"/>
          <w:szCs w:val="21"/>
          <w:u w:val="single"/>
        </w:rPr>
      </w:pPr>
      <w:r>
        <w:rPr>
          <w:rFonts w:hint="eastAsia" w:ascii="宋体" w:hAnsi="宋体" w:eastAsia="宋体" w:cs="宋体"/>
          <w:szCs w:val="21"/>
        </w:rPr>
        <w:t xml:space="preserve">采购标的的技术要求、商务要求具体见附件。</w:t>
      </w:r>
      <w:r/>
    </w:p>
    <w:p>
      <w:pPr>
        <w:ind w:firstLine="945"/>
        <w:spacing w:line="400" w:lineRule="exact"/>
        <w:rPr>
          <w:rFonts w:hint="eastAsia" w:ascii="宋体" w:hAnsi="宋体" w:eastAsia="宋体" w:cs="宋体"/>
          <w:szCs w:val="21"/>
        </w:rPr>
      </w:pPr>
      <w:r>
        <w:rPr>
          <w:rFonts w:hint="eastAsia" w:ascii="宋体" w:hAnsi="宋体" w:eastAsia="宋体" w:cs="宋体"/>
          <w:szCs w:val="21"/>
        </w:rPr>
        <w:t xml:space="preserve">①涉及信息类产品，请填写该产品关键部件的品牌、型号：</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②涉及车辆采购，请填写是否属于新能源汽车：</w:t>
      </w:r>
      <w:r/>
    </w:p>
    <w:p>
      <w:pPr>
        <w:jc w:val="left"/>
        <w:spacing w:line="400" w:lineRule="exact"/>
        <w:widowControl/>
        <w:rPr>
          <w:rFonts w:ascii="宋体" w:hAnsi="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eastAsia="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þ</w:t>
      </w:r>
      <w:r>
        <w:rPr>
          <w:rFonts w:hint="eastAsia" w:ascii="宋体" w:hAnsi="宋体" w:eastAsia="宋体" w:cs="宋体"/>
          <w:szCs w:val="21"/>
        </w:rPr>
        <w:t xml:space="preserve">分散采购</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þ</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20"/>
        <w:jc w:val="left"/>
        <w:spacing w:line="400" w:lineRule="exact"/>
        <w:widowControl/>
        <w:rPr>
          <w:rFonts w:hint="eastAsia" w:ascii="宋体" w:hAnsi="宋体" w:eastAsia="宋体" w:cs="宋体"/>
          <w:szCs w:val="21"/>
          <w:u w:val="single"/>
        </w:rPr>
      </w:pPr>
      <w:r>
        <w:rPr>
          <w:rFonts w:hint="eastAsia" w:ascii="宋体" w:hAnsi="宋体" w:eastAsia="宋体" w:cs="宋体"/>
          <w:sz w:val="22"/>
          <w:szCs w:val="21"/>
        </w:rPr>
        <w:t xml:space="preserve">                  </w:t>
      </w:r>
      <w:r>
        <w:rPr>
          <w:rFonts w:hint="eastAsia" w:ascii="宋体" w:hAnsi="宋体" w:eastAsia="宋体" w:cs="宋体"/>
          <w:szCs w:val="21"/>
        </w:rPr>
        <w:t xml:space="preserve"></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220"/>
        <w:jc w:val="left"/>
        <w:spacing w:line="400" w:lineRule="exact"/>
        <w:widowControl/>
        <w:rPr>
          <w:rFonts w:hint="eastAsia" w:ascii="宋体" w:hAnsi="宋体" w:eastAsia="宋体" w:cs="宋体"/>
          <w:szCs w:val="21"/>
        </w:rPr>
      </w:pPr>
      <w:r>
        <w:rPr>
          <w:rFonts w:hint="eastAsia" w:ascii="宋体" w:hAnsi="宋体" w:eastAsia="宋体" w:cs="宋体"/>
          <w:sz w:val="22"/>
          <w:szCs w:val="21"/>
        </w:rPr>
        <w:t xml:space="preserve"> （</w:t>
      </w:r>
      <w:r>
        <w:rPr>
          <w:rFonts w:hint="eastAsia" w:ascii="宋体" w:hAnsi="宋体" w:eastAsia="宋体" w:cs="宋体"/>
          <w:sz w:val="22"/>
          <w:szCs w:val="21"/>
          <w:lang w:val="en"/>
        </w:rPr>
        <w:t xml:space="preserve">6</w:t>
      </w:r>
      <w:r>
        <w:rPr>
          <w:rFonts w:hint="eastAsia" w:ascii="宋体" w:hAnsi="宋体" w:eastAsia="宋体" w:cs="宋体"/>
          <w:sz w:val="22"/>
          <w:szCs w:val="21"/>
        </w:rPr>
        <w:t xml:space="preserve">）</w:t>
      </w:r>
      <w:r>
        <w:rPr>
          <w:rFonts w:hint="eastAsia" w:ascii="宋体" w:hAnsi="宋体" w:eastAsia="宋体" w:cs="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若本项目不专门面向中小企业采购，是否给予小微企业评审优惠：</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中标（成交）采购标的制造商是否为残疾人福利性单位：</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2"/>
        </w:rPr>
      </w:pPr>
      <w:r>
        <w:rPr>
          <w:rFonts w:hint="eastAsia" w:ascii="宋体" w:hAnsi="宋体" w:eastAsia="宋体" w:cs="宋体"/>
          <w:szCs w:val="22"/>
        </w:rPr>
        <w:t xml:space="preserve">        中标（成交）采购标的制造商是否为监狱企业：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7</w:t>
      </w:r>
      <w:r>
        <w:rPr>
          <w:rFonts w:hint="eastAsia" w:ascii="宋体" w:hAnsi="宋体" w:eastAsia="宋体" w:cs="宋体"/>
          <w:szCs w:val="21"/>
        </w:rPr>
        <w:t xml:space="preserve">）合同是否分包：</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r/>
    </w:p>
    <w:p>
      <w:pPr>
        <w:ind w:firstLine="840"/>
        <w:spacing w:line="400" w:lineRule="exact"/>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小微型企业  </w:t>
      </w:r>
      <w:r/>
    </w:p>
    <w:p>
      <w:pPr>
        <w:ind w:firstLine="840"/>
        <w:spacing w:line="400" w:lineRule="exact"/>
        <w:rPr>
          <w:rFonts w:hint="eastAsia" w:ascii="宋体" w:hAnsi="宋体" w:eastAsia="宋体" w:cs="宋体"/>
          <w:szCs w:val="22"/>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监狱企业 </w:t>
      </w:r>
      <w:r>
        <w:rPr>
          <w:rFonts w:ascii="Wingdings" w:hAnsi="Wingdings" w:eastAsia="Wingdings" w:cs="Wingdings"/>
          <w:iCs/>
          <w:szCs w:val="21"/>
        </w:rPr>
        <w:t xml:space="preserve"></w:t>
      </w:r>
      <w:r>
        <w:rPr>
          <w:rFonts w:hint="eastAsia" w:ascii="宋体" w:hAnsi="宋体" w:eastAsia="宋体" w:cs="宋体"/>
          <w:iCs/>
          <w:szCs w:val="21"/>
        </w:rPr>
        <w:t xml:space="preserve">其他</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hint="default" w:ascii="Wingdings" w:hAnsi="Wingdings" w:eastAsia="Wingdings" w:cs="Wingdings"/>
          <w:sz w:val="21"/>
          <w:szCs w:val="21"/>
          <w:lang w:val="en-US" w:eastAsia="zh-CN" w:bidi="ar-SA"/>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hint="eastAsia"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0</w:t>
      </w:r>
      <w:r>
        <w:rPr>
          <w:rFonts w:hint="eastAsia" w:ascii="宋体" w:hAnsi="宋体" w:eastAsia="宋体" w:cs="宋体"/>
          <w:szCs w:val="21"/>
        </w:rPr>
        <w:t xml:space="preserve">）是否涉及节能产品：</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是否涉及环境标志产品：</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是否涉及绿色产品： </w:t>
      </w:r>
      <w:r/>
    </w:p>
    <w:p>
      <w:pPr>
        <w:ind w:firstLine="420"/>
        <w:jc w:val="left"/>
        <w:spacing w:line="400" w:lineRule="exact"/>
        <w:widowControl/>
        <w:rPr>
          <w:rFonts w:hint="eastAsia" w:ascii="宋体" w:hAnsi="宋体" w:eastAsia="宋体" w:cs="宋体"/>
          <w:sz w:val="22"/>
          <w:szCs w:val="21"/>
          <w:u w:val="single"/>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是，绿色产品政府采购相关政策确定的底级品目名称：</w:t>
      </w:r>
      <w:r>
        <w:rPr>
          <w:rFonts w:hint="eastAsia" w:ascii="宋体" w:hAnsi="宋体" w:eastAsia="宋体" w:cs="宋体"/>
          <w:sz w:val="22"/>
          <w:szCs w:val="21"/>
          <w:u w:val="single"/>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1</w:t>
      </w:r>
      <w:r>
        <w:rPr>
          <w:rFonts w:hint="eastAsia" w:ascii="宋体" w:hAnsi="宋体" w:eastAsia="宋体" w:cs="宋体"/>
          <w:szCs w:val="21"/>
        </w:rPr>
        <w:t xml:space="preserve">）涉及商品包装和快递包装的，是否参考《商品包装政府采购需求标准（试行）</w:t>
      </w:r>
      <w:r>
        <w:rPr>
          <w:rFonts w:hint="eastAsia" w:ascii="宋体" w:hAnsi="宋体" w:eastAsia="宋体" w:cs="宋体"/>
          <w:szCs w:val="21"/>
          <w:lang w:eastAsia="zh-CN"/>
        </w:rPr>
        <w:t xml:space="preserve">》《</w:t>
      </w:r>
      <w:r>
        <w:rPr>
          <w:rFonts w:hint="eastAsia" w:ascii="宋体" w:hAnsi="宋体" w:eastAsia="宋体" w:cs="宋体"/>
          <w:szCs w:val="21"/>
        </w:rPr>
        <w:t xml:space="preserve">快递包装政府采购需求标准（试行）》明确产品及相关快递服务的具体包装要求：</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是       </w:t>
      </w:r>
      <w:r>
        <w:rPr>
          <w:rFonts w:ascii="Wingdings" w:hAnsi="Wingdings" w:eastAsia="Wingdings" w:cs="Wingdings"/>
          <w:iCs/>
          <w:szCs w:val="21"/>
        </w:rPr>
        <w:t xml:space="preserve"></w:t>
      </w:r>
      <w:r>
        <w:rPr>
          <w:rFonts w:hint="eastAsia" w:ascii="宋体" w:hAnsi="宋体" w:eastAsia="宋体" w:cs="宋体"/>
          <w:szCs w:val="21"/>
        </w:rPr>
        <w:t xml:space="preserve">否      </w:t>
      </w:r>
      <w:r>
        <w:rPr>
          <w:rFonts w:ascii="Wingdings" w:hAnsi="Wingdings" w:eastAsia="Wingdings" w:cs="Wingdings"/>
          <w:iCs/>
          <w:szCs w:val="21"/>
        </w:rPr>
        <w:t xml:space="preserve"></w:t>
      </w:r>
      <w:r>
        <w:rPr>
          <w:rFonts w:hint="eastAsia" w:ascii="宋体" w:hAnsi="宋体" w:eastAsia="宋体" w:cs="宋体"/>
          <w:szCs w:val="21"/>
        </w:rPr>
        <w:t xml:space="preserve">不涉及</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合同金额</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r/>
    </w:p>
    <w:p>
      <w:pPr>
        <w:spacing w:line="400" w:lineRule="exact"/>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r/>
    </w:p>
    <w:p>
      <w:pPr>
        <w:ind w:firstLine="420"/>
        <w:spacing w:line="400" w:lineRule="exact"/>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w:t>
      </w:r>
      <w:r>
        <w:rPr>
          <w:rFonts w:hint="eastAsia" w:ascii="宋体" w:hAnsi="宋体" w:eastAsia="宋体" w:cs="宋体"/>
          <w:iCs/>
          <w:szCs w:val="21"/>
        </w:rPr>
        <w:t xml:space="preserve">固定单价 </w:t>
      </w:r>
      <w:r>
        <w:rPr>
          <w:rFonts w:ascii="Wingdings" w:hAnsi="Wingdings" w:eastAsia="Wingdings" w:cs="Wingdings"/>
          <w:iCs/>
          <w:szCs w:val="21"/>
        </w:rPr>
        <w:t xml:space="preserve"></w:t>
      </w:r>
      <w:r>
        <w:rPr>
          <w:rFonts w:hint="eastAsia" w:ascii="宋体" w:hAnsi="宋体" w:eastAsia="宋体" w:cs="宋体"/>
          <w:iCs/>
          <w:szCs w:val="21"/>
        </w:rPr>
        <w:t xml:space="preserve">固定费率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 </w:t>
      </w:r>
      <w:r>
        <w:rPr>
          <w:rFonts w:ascii="Wingdings" w:hAnsi="Wingdings" w:eastAsia="Wingdings" w:cs="Wingdings"/>
          <w:iCs/>
          <w:szCs w:val="21"/>
        </w:rPr>
        <w:t xml:space="preserve"></w:t>
      </w:r>
      <w:r>
        <w:rPr>
          <w:rFonts w:hint="eastAsia" w:ascii="宋体" w:hAnsi="宋体" w:eastAsia="宋体" w:cs="宋体"/>
          <w:iCs/>
          <w:szCs w:val="21"/>
        </w:rPr>
        <w:t xml:space="preserve">其他</w:t>
      </w:r>
      <w:r>
        <w:rPr>
          <w:rFonts w:hint="eastAsia" w:ascii="宋体" w:hAnsi="宋体" w:eastAsia="宋体" w:cs="宋体"/>
          <w:szCs w:val="21"/>
          <w:u w:val="single"/>
        </w:rPr>
        <w:t xml:space="preserve">       </w:t>
      </w:r>
      <w:r/>
    </w:p>
    <w:p>
      <w:pPr>
        <w:contextualSpacing/>
        <w:ind w:firstLine="420"/>
        <w:jc w:val="left"/>
        <w:spacing w:line="400" w:lineRule="exact"/>
        <w:widowControl/>
        <w:rPr>
          <w:rFonts w:hint="eastAsia" w:ascii="宋体" w:hAnsi="宋体" w:eastAsia="宋体" w:cs="宋体"/>
          <w:szCs w:val="21"/>
          <w:lang w:bidi="en-US"/>
        </w:rPr>
      </w:pPr>
      <w:r>
        <w:rPr>
          <w:rFonts w:hint="eastAsia" w:ascii="宋体" w:hAnsi="宋体" w:eastAsia="宋体" w:cs="宋体"/>
          <w:szCs w:val="21"/>
          <w:lang w:bidi="en-US"/>
        </w:rPr>
        <w:t xml:space="preserve">（3）付款方式（按项目实际勾选填写）：</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p>
    <w:p>
      <w:pPr>
        <w:ind w:firstLine="630"/>
        <w:spacing w:line="400" w:lineRule="exact"/>
        <w:rPr>
          <w:rFonts w:hint="eastAsia" w:ascii="宋体" w:hAnsi="宋体" w:eastAsia="宋体" w:cs="宋体"/>
          <w:szCs w:val="22"/>
        </w:rPr>
      </w:pPr>
      <w:r>
        <w:rPr>
          <w:rFonts w:ascii="Wingdings" w:hAnsi="Wingdings" w:eastAsia="Wingdings" w:cs="Wingdings"/>
          <w:iC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 xml:space="preserve">，其中涉及预付款的：</w:t>
      </w:r>
      <w:r>
        <w:rPr>
          <w:rFonts w:hint="eastAsia" w:ascii="宋体" w:hAnsi="宋体" w:eastAsia="宋体" w:cs="宋体"/>
          <w:szCs w:val="21"/>
          <w:u w:val="single"/>
        </w:rPr>
        <w:t xml:space="preserve"> （应明确预付款的支付比例和支付条件）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eastAsia="宋体" w:cs="宋体"/>
          <w:b/>
          <w:szCs w:val="21"/>
          <w:u w:val="single"/>
        </w:rPr>
      </w:pPr>
      <w:r>
        <w:rPr>
          <w:rFonts w:hint="eastAsia" w:ascii="宋体" w:hAnsi="宋体" w:eastAsia="宋体" w:cs="宋体"/>
          <w:b/>
          <w:szCs w:val="21"/>
        </w:rPr>
        <w:t xml:space="preserve">合同履行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szCs w:val="22"/>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ind w:firstLine="440"/>
        <w:jc w:val="left"/>
        <w:spacing w:line="400" w:lineRule="exact"/>
        <w:widowControl/>
        <w:rPr>
          <w:rFonts w:hint="eastAsia" w:ascii="宋体" w:hAnsi="宋体" w:eastAsia="宋体" w:cs="宋体"/>
          <w:szCs w:val="21"/>
        </w:rPr>
      </w:pPr>
      <w:r>
        <w:rPr>
          <w:rFonts w:hint="eastAsia" w:ascii="宋体" w:hAnsi="宋体" w:eastAsia="宋体" w:cs="宋体"/>
          <w:bCs/>
          <w:sz w:val="22"/>
          <w:szCs w:val="21"/>
        </w:rPr>
        <w:t xml:space="preserve"> </w:t>
      </w:r>
      <w:r>
        <w:rPr>
          <w:rFonts w:hint="eastAsia" w:ascii="宋体" w:hAnsi="宋体" w:eastAsia="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szCs w:val="21"/>
        </w:rPr>
        <w:t xml:space="preserve"> 如以履约保函（保险）形式缴纳履约保证金，供应商可通过政府采购电子履约保函（保险）平台（www.jsdzbh.com）在线申请履约保函（保险）。</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合同履行结束后，甲方应及时退还交纳的履约保证金。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履约保证金的退还：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（2）时间：验收合格且甲方收到发票后30日内。</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（4）不予退还情形：</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4.2乙方不履行与甲方订立的合同的；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4.3乙方所供货物或服务不符合招标文件规定要求的；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4.4乙方采取欺骗、弄虚作假方式投标的或与其他投标人串通投标的；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4.5乙方将合同内容转包、违法分包的；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4.6乙方故意捏造事实或伪造证明材料，进行虚假恶意投诉或反映的。</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收取</w:t>
      </w:r>
      <w:bookmarkStart w:id="191" w:name="OLE_LINK22"/>
      <w:r>
        <w:rPr>
          <w:rFonts w:hint="eastAsia" w:ascii="宋体" w:hAnsi="宋体" w:eastAsia="宋体" w:cs="宋体"/>
          <w:szCs w:val="21"/>
        </w:rPr>
        <w:t xml:space="preserve">履约保证金金额：</w:t>
      </w:r>
      <w:r>
        <w:rPr>
          <w:rFonts w:hint="eastAsia" w:ascii="宋体" w:hAnsi="宋体" w:eastAsia="宋体" w:cs="宋体"/>
          <w:bCs/>
          <w:szCs w:val="21"/>
          <w:u w:val="single"/>
        </w:rPr>
        <w:t xml:space="preserve"> （合同金额的10%）</w:t>
      </w:r>
      <w:bookmarkEnd w:id="191"/>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2"/>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5"/>
        </w:num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iCs/>
          <w:szCs w:val="21"/>
        </w:rPr>
        <w:t xml:space="preserve"></w:t>
      </w:r>
      <w:r>
        <w:rPr>
          <w:rFonts w:hint="eastAsia" w:ascii="宋体" w:hAnsi="宋体" w:eastAsia="宋体" w:cs="宋体"/>
          <w:bCs/>
          <w:szCs w:val="21"/>
        </w:rPr>
        <w:t xml:space="preserve">自行组织 </w:t>
      </w:r>
      <w:r>
        <w:rPr>
          <w:rFonts w:ascii="Wingdings" w:hAnsi="Wingdings" w:eastAsia="Wingdings" w:cs="Wingdings"/>
          <w:iCs/>
          <w:szCs w:val="21"/>
        </w:rPr>
        <w:t xml:space="preserve">¨</w:t>
      </w:r>
      <w:r>
        <w:rPr>
          <w:rFonts w:hint="eastAsia" w:ascii="宋体" w:hAnsi="宋体" w:eastAsia="宋体" w:cs="宋体"/>
          <w:bCs/>
          <w:szCs w:val="21"/>
        </w:rPr>
        <w:t xml:space="preserve">委托第三方组织</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是否进行抽查检测：</w:t>
      </w:r>
      <w:r>
        <w:rPr>
          <w:rFonts w:ascii="Wingdings" w:hAnsi="Wingdings" w:eastAsia="Wingdings" w:cs="Wingdings"/>
          <w:iCs/>
          <w:szCs w:val="21"/>
        </w:rPr>
        <w:t xml:space="preserve"></w:t>
      </w:r>
      <w:r>
        <w:rPr>
          <w:rFonts w:hint="eastAsia" w:ascii="宋体" w:hAnsi="宋体" w:eastAsia="宋体" w:cs="宋体"/>
          <w:bCs/>
          <w:szCs w:val="21"/>
        </w:rPr>
        <w:t xml:space="preserve">是，抽查比例：</w:t>
      </w:r>
      <w:r>
        <w:rPr>
          <w:rFonts w:hint="eastAsia" w:ascii="宋体" w:hAnsi="宋体" w:eastAsia="宋体" w:cs="宋体"/>
          <w:bCs/>
          <w:szCs w:val="21"/>
          <w:u w:val="single"/>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是否存在破坏性检测：</w:t>
      </w:r>
      <w:r>
        <w:rPr>
          <w:rFonts w:ascii="Wingdings" w:hAnsi="Wingdings" w:eastAsia="Wingdings" w:cs="Wingdings"/>
          <w:iCs/>
          <w:szCs w:val="21"/>
        </w:rPr>
        <w:t xml:space="preserve"></w:t>
      </w:r>
      <w:r>
        <w:rPr>
          <w:rFonts w:hint="eastAsia" w:ascii="宋体" w:hAnsi="宋体" w:eastAsia="宋体" w:cs="宋体"/>
          <w:bCs/>
          <w:szCs w:val="21"/>
        </w:rPr>
        <w:t xml:space="preserve">是，</w:t>
      </w:r>
      <w:r>
        <w:rPr>
          <w:rFonts w:hint="eastAsia" w:ascii="宋体" w:hAnsi="宋体" w:eastAsia="宋体" w:cs="宋体"/>
          <w:bCs/>
          <w:szCs w:val="21"/>
          <w:u w:val="single"/>
        </w:rPr>
        <w:t xml:space="preserve">（应明确对被破坏的检测产品的处理方式）</w:t>
      </w:r>
      <w:r/>
    </w:p>
    <w:p>
      <w:pPr>
        <w:ind w:firstLine="525"/>
        <w:spacing w:line="400" w:lineRule="exact"/>
        <w:rPr>
          <w:rFonts w:hint="eastAsia" w:ascii="宋体" w:hAnsi="宋体" w:eastAsia="宋体" w:cs="宋体"/>
          <w:bCs/>
          <w:szCs w:val="21"/>
        </w:rPr>
      </w:pP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iCs/>
          <w:szCs w:val="21"/>
        </w:rPr>
        <w:t xml:space="preserve"></w:t>
      </w:r>
      <w:r>
        <w:rPr>
          <w:rFonts w:hint="eastAsia" w:ascii="宋体" w:hAnsi="宋体" w:eastAsia="宋体" w:cs="宋体"/>
          <w:bCs/>
          <w:szCs w:val="21"/>
        </w:rPr>
        <w:t xml:space="preserve">一次性验收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 xml:space="preserve">/分项验收的工作安排</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（4）中标（成交）通知书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份，甲方执</w:t>
      </w:r>
      <w:r>
        <w:rPr>
          <w:rFonts w:hint="eastAsia" w:ascii="宋体" w:hAnsi="宋体" w:eastAsia="宋体" w:cs="宋体"/>
          <w:szCs w:val="21"/>
          <w:u w:val="single"/>
        </w:rPr>
        <w:t xml:space="preserve">    </w:t>
      </w:r>
      <w:r>
        <w:rPr>
          <w:rFonts w:hint="eastAsia" w:ascii="宋体" w:hAnsi="宋体" w:eastAsia="宋体" w:cs="宋体"/>
          <w:szCs w:val="21"/>
        </w:rPr>
        <w:t xml:space="preserve">份，乙方执</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b/>
          <w:bCs/>
          <w:szCs w:val="21"/>
        </w:rPr>
      </w:pPr>
      <w:r>
        <w:rPr>
          <w:rFonts w:hint="eastAsia" w:ascii="宋体" w:hAnsi="宋体" w:eastAsia="宋体" w:cs="宋体"/>
          <w:szCs w:val="21"/>
        </w:rPr>
        <w:t xml:space="preserve">附件：具体标的及其技术要求和商务要求、联合协议、分包意向协议等</w:t>
      </w:r>
      <w:r>
        <w:rPr>
          <w:rFonts w:hint="eastAsia" w:ascii="宋体" w:hAnsi="宋体" w:eastAsia="宋体" w:cs="宋体"/>
          <w:szCs w:val="22"/>
          <w:lang w:val="en"/>
        </w:rPr>
        <w:t xml:space="preserve">   </w:t>
      </w:r>
      <w:r/>
    </w:p>
    <w:p>
      <w:pPr>
        <w:contextualSpacing/>
        <w:ind w:left="720"/>
        <w:jc w:val="left"/>
        <w:widowControl/>
        <w:rPr>
          <w:rFonts w:hint="eastAsia" w:ascii="宋体" w:hAnsi="宋体" w:eastAsia="宋体" w:cs="宋体"/>
          <w:sz w:val="24"/>
          <w:lang w:bidi="en-US"/>
        </w:rPr>
      </w:pPr>
      <w:r>
        <w:rPr>
          <w:rFonts w:hint="eastAsia" w:ascii="宋体" w:hAnsi="宋体" w:eastAsia="宋体" w:cs="宋体"/>
          <w:sz w:val="24"/>
          <w:lang w:bidi="en-US"/>
        </w:rPr>
      </w:r>
      <w:r/>
    </w:p>
    <w:tbl>
      <w:tblPr>
        <w:tblStyle w:val="84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54"/>
        <w:gridCol w:w="2620"/>
        <w:gridCol w:w="2149"/>
        <w:gridCol w:w="2298"/>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Cs w:val="22"/>
              </w:rPr>
            </w:pPr>
            <w:r>
              <w:rPr>
                <w:rFonts w:hint="eastAsia" w:ascii="宋体" w:hAnsi="宋体" w:eastAsia="宋体" w:cs="宋体"/>
                <w:szCs w:val="21"/>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hint="eastAsia" w:ascii="宋体" w:hAnsi="宋体" w:eastAsia="宋体" w:cs="宋体"/>
                <w:szCs w:val="22"/>
                <w:lang w:eastAsia="en-US"/>
              </w:rPr>
            </w:pPr>
            <w:r>
              <w:rPr>
                <w:rFonts w:hint="eastAsia" w:ascii="宋体" w:hAnsi="宋体" w:eastAsia="宋体" w:cs="宋体"/>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1"/>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jc w:val="center"/>
        <w:keepLines/>
        <w:keepNext/>
        <w:spacing w:before="120" w:after="260" w:line="415" w:lineRule="auto"/>
        <w:rPr>
          <w:rFonts w:hint="eastAsia" w:ascii="宋体" w:hAnsi="宋体" w:eastAsia="宋体" w:cs="宋体"/>
          <w:b/>
          <w:bCs/>
          <w:sz w:val="28"/>
          <w:szCs w:val="28"/>
        </w:rPr>
        <w:outlineLvl w:val="1"/>
      </w:pPr>
      <w:r>
        <w:rPr>
          <w:rFonts w:hint="eastAsia" w:ascii="宋体" w:hAnsi="宋体" w:eastAsia="宋体" w:cs="宋体"/>
          <w:sz w:val="44"/>
          <w:szCs w:val="21"/>
          <w:u w:val="single"/>
        </w:rPr>
        <w:br w:type="page" w:clear="all"/>
      </w:r>
      <w:r>
        <w:rPr>
          <w:rFonts w:hint="eastAsia" w:ascii="宋体" w:hAnsi="宋体" w:eastAsia="宋体" w:cs="宋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szCs w:val="22"/>
        </w:rPr>
      </w:pPr>
      <w:r>
        <w:rPr>
          <w:rFonts w:hint="eastAsia" w:ascii="宋体" w:hAnsi="宋体" w:eastAsia="宋体" w:cs="宋体"/>
          <w:b/>
          <w:sz w:val="24"/>
          <w:szCs w:val="22"/>
        </w:rPr>
        <w:t xml:space="preserve">1. </w:t>
      </w:r>
      <w:r>
        <w:rPr>
          <w:rFonts w:hint="eastAsia" w:ascii="宋体" w:hAnsi="宋体" w:eastAsia="宋体" w:cs="宋体"/>
          <w:b/>
          <w:bCs/>
          <w:sz w:val="24"/>
          <w:szCs w:val="22"/>
        </w:rPr>
        <w:t xml:space="preserve">定义</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6"/>
        </w:numPr>
        <w:jc w:val="left"/>
        <w:spacing w:line="400" w:lineRule="exact"/>
        <w:rPr>
          <w:rFonts w:hint="eastAsia" w:ascii="宋体" w:hAnsi="宋体" w:eastAsia="宋体" w:cs="宋体"/>
          <w:b/>
          <w:bCs/>
          <w:color w:val="000000"/>
          <w:sz w:val="24"/>
          <w:szCs w:val="22"/>
        </w:rPr>
      </w:pPr>
      <w:r>
        <w:rPr>
          <w:rFonts w:hint="eastAsia" w:ascii="宋体" w:hAnsi="宋体" w:eastAsia="宋体" w:cs="宋体"/>
          <w:b/>
          <w:color w:val="000000"/>
          <w:sz w:val="24"/>
          <w:szCs w:val="22"/>
        </w:rPr>
        <w:t xml:space="preserve">合同标的及金额</w:t>
      </w:r>
      <w:r/>
    </w:p>
    <w:p>
      <w:pPr>
        <w:ind w:firstLine="420"/>
        <w:jc w:val="left"/>
        <w:spacing w:line="400" w:lineRule="exact"/>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3. 履行合同的时间、地点和方式</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4. 甲方的权利和义务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Cs w:val="22"/>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5. 乙方的权利和义务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5.3乙方有权根据合同约定向甲方收取合同价款。</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5.4国家法律法规规定及</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约定应由乙方承担的其他义务和责任。</w:t>
      </w:r>
      <w:r/>
    </w:p>
    <w:p>
      <w:pPr>
        <w:numPr>
          <w:ilvl w:val="0"/>
          <w:numId w:val="7"/>
        </w:num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合同履行</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eastAsia="宋体" w:cs="宋体"/>
          <w:szCs w:val="22"/>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7. 货物包装、运输、保险和交付要求</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szCs w:val="22"/>
        </w:rPr>
      </w:pPr>
      <w:r>
        <w:rPr>
          <w:rFonts w:hint="eastAsia" w:ascii="宋体" w:hAnsi="宋体" w:eastAsia="宋体" w:cs="宋体"/>
          <w:b/>
          <w:color w:val="000000"/>
          <w:sz w:val="24"/>
          <w:szCs w:val="22"/>
        </w:rPr>
        <w:t xml:space="preserve">8. </w:t>
      </w:r>
      <w:r>
        <w:rPr>
          <w:rFonts w:hint="eastAsia" w:ascii="宋体" w:hAnsi="宋体" w:eastAsia="宋体" w:cs="宋体"/>
          <w:b/>
          <w:sz w:val="24"/>
          <w:szCs w:val="22"/>
        </w:rPr>
        <w:t xml:space="preserve">质量标准和保证</w:t>
      </w:r>
      <w:r/>
    </w:p>
    <w:p>
      <w:pPr>
        <w:ind w:firstLine="420"/>
        <w:jc w:val="left"/>
        <w:spacing w:line="400" w:lineRule="exact"/>
        <w:rPr>
          <w:rFonts w:hint="eastAsia" w:ascii="宋体" w:hAnsi="宋体" w:eastAsia="宋体" w:cs="宋体"/>
          <w:b/>
          <w:szCs w:val="21"/>
        </w:rPr>
      </w:pPr>
      <w:r>
        <w:rPr>
          <w:rFonts w:hint="eastAsia" w:ascii="宋体" w:hAnsi="宋体" w:eastAsia="宋体" w:cs="宋体"/>
          <w:szCs w:val="21"/>
        </w:rPr>
        <w:t xml:space="preserve">8.1 质量标准</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（2）采用中华人民共和国法定计量单位。</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szCs w:val="22"/>
        </w:rPr>
      </w:pPr>
      <w:r>
        <w:rPr>
          <w:rFonts w:hint="eastAsia" w:ascii="宋体" w:hAnsi="宋体" w:eastAsia="宋体" w:cs="宋体"/>
          <w:b/>
          <w:bCs/>
          <w:color w:val="000000"/>
          <w:sz w:val="24"/>
          <w:szCs w:val="22"/>
        </w:rPr>
        <w:t xml:space="preserve">9</w:t>
      </w:r>
      <w:r>
        <w:rPr>
          <w:rFonts w:hint="eastAsia" w:ascii="宋体" w:hAnsi="宋体" w:eastAsia="宋体" w:cs="宋体"/>
          <w:b/>
          <w:bCs/>
          <w:sz w:val="24"/>
          <w:szCs w:val="22"/>
        </w:rPr>
        <w:t xml:space="preserve">.</w:t>
      </w:r>
      <w:r>
        <w:rPr>
          <w:rFonts w:hint="eastAsia" w:ascii="宋体" w:hAnsi="宋体" w:eastAsia="宋体" w:cs="宋体"/>
          <w:b/>
          <w:bCs/>
          <w:color w:val="000000"/>
          <w:sz w:val="24"/>
          <w:szCs w:val="22"/>
        </w:rPr>
        <w:t xml:space="preserve"> </w:t>
      </w:r>
      <w:r>
        <w:rPr>
          <w:rFonts w:hint="eastAsia" w:ascii="宋体" w:hAnsi="宋体" w:eastAsia="宋体" w:cs="宋体"/>
          <w:b/>
          <w:bCs/>
          <w:sz w:val="24"/>
          <w:szCs w:val="22"/>
        </w:rPr>
        <w:t xml:space="preserve">权利瑕疵担保</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10. 知识产权保护</w:t>
      </w:r>
      <w:r/>
    </w:p>
    <w:p>
      <w:pPr>
        <w:ind w:firstLine="420"/>
        <w:jc w:val="left"/>
        <w:spacing w:line="400" w:lineRule="exact"/>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11. 保密义务</w:t>
      </w:r>
      <w:r/>
    </w:p>
    <w:p>
      <w:pPr>
        <w:ind w:firstLine="420"/>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12. 合同价款支付</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13. 履约保证金</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Cs w:val="22"/>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hint="eastAsia" w:ascii="宋体" w:hAnsi="宋体" w:eastAsia="宋体" w:cs="宋体"/>
          <w:b/>
          <w:sz w:val="24"/>
          <w:szCs w:val="22"/>
        </w:rPr>
      </w:pPr>
      <w:r>
        <w:rPr>
          <w:rFonts w:hint="eastAsia" w:ascii="宋体" w:hAnsi="宋体" w:eastAsia="宋体" w:cs="宋体"/>
          <w:b/>
          <w:bCs/>
          <w:sz w:val="24"/>
          <w:szCs w:val="22"/>
        </w:rPr>
        <w:t xml:space="preserve">14. </w:t>
      </w:r>
      <w:r>
        <w:rPr>
          <w:rFonts w:hint="eastAsia" w:ascii="宋体" w:hAnsi="宋体" w:eastAsia="宋体" w:cs="宋体"/>
          <w:b/>
          <w:sz w:val="24"/>
          <w:szCs w:val="22"/>
        </w:rPr>
        <w:t xml:space="preserve">售后服务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15. 违约责任</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400" w:lineRule="exact"/>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8"/>
        </w:num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合同变更、中止与终止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jc w:val="left"/>
        <w:spacing w:line="400" w:lineRule="exact"/>
        <w:widowControl/>
        <w:rPr>
          <w:rFonts w:hint="eastAsia" w:ascii="宋体" w:hAnsi="宋体" w:eastAsia="宋体" w:cs="宋体"/>
          <w:sz w:val="22"/>
          <w:szCs w:val="21"/>
        </w:rPr>
      </w:pPr>
      <w:r>
        <w:rPr>
          <w:rFonts w:hint="eastAsia" w:ascii="宋体" w:hAnsi="宋体" w:eastAsia="宋体" w:cs="宋体"/>
          <w:sz w:val="22"/>
          <w:szCs w:val="21"/>
        </w:rPr>
        <w:t xml:space="preserve">16.4 </w:t>
      </w:r>
      <w:r>
        <w:rPr>
          <w:rFonts w:hint="eastAsia" w:ascii="宋体" w:hAnsi="宋体" w:eastAsia="宋体" w:cs="宋体"/>
          <w:szCs w:val="21"/>
        </w:rPr>
        <w:t xml:space="preserve">涉及国家利益、社会公共利益的情形</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17. 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18. 不可抗力</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19. 解决争议的方法</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szCs w:val="22"/>
        </w:rPr>
      </w:pPr>
      <w:r>
        <w:rPr>
          <w:rFonts w:hint="eastAsia" w:ascii="宋体" w:hAnsi="宋体" w:eastAsia="宋体" w:cs="宋体"/>
          <w:b/>
          <w:sz w:val="24"/>
          <w:szCs w:val="22"/>
        </w:rPr>
        <w:t xml:space="preserve">20. 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szCs w:val="22"/>
          <w:lang w:val="en-GB"/>
        </w:rPr>
        <w:t xml:space="preserve">本合同应当按照规定执行政府采购政策。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szCs w:val="22"/>
        </w:rPr>
        <w:t xml:space="preserve">甲乙双方</w:t>
      </w:r>
      <w:r>
        <w:rPr>
          <w:rFonts w:hint="eastAsia" w:ascii="宋体" w:hAnsi="宋体" w:eastAsia="宋体" w:cs="宋体"/>
          <w:szCs w:val="22"/>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21. 法律适用</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22. 通知</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合同未尽事项</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第三节 政府采购合同专用条款</w:t>
      </w:r>
      <w:r/>
    </w:p>
    <w:tbl>
      <w:tblPr>
        <w:tblStyle w:val="848"/>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2"/>
                <w:lang w:eastAsia="en-US"/>
              </w:rPr>
            </w:pPr>
            <w:r>
              <w:rPr>
                <w:rFonts w:hint="eastAsia" w:ascii="宋体" w:hAnsi="宋体" w:eastAsia="宋体" w:cs="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spacing w:line="400" w:lineRule="exact"/>
              <w:widowControl/>
              <w:rPr>
                <w:rFonts w:hint="eastAsia" w:ascii="宋体" w:hAnsi="宋体" w:eastAsia="宋体" w:cs="宋体"/>
                <w:sz w:val="22"/>
                <w:szCs w:val="21"/>
                <w:lang w:eastAsia="en-US"/>
              </w:rPr>
            </w:pPr>
            <w:r>
              <w:rPr>
                <w:rFonts w:hint="eastAsia" w:ascii="宋体" w:hAnsi="宋体" w:eastAsia="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eastAsia="宋体" w:cs="宋体"/>
                <w:szCs w:val="21"/>
                <w:lang w:eastAsia="en-US"/>
              </w:rPr>
            </w:pPr>
            <w:r>
              <w:rPr>
                <w:rFonts w:hint="eastAsia" w:ascii="宋体" w:hAnsi="宋体" w:eastAsia="宋体" w:cs="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hint="eastAsia" w:ascii="宋体" w:hAnsi="宋体" w:eastAsia="宋体" w:cs="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3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2"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10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10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10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10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102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83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工业</w:t>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 不接受 </w:t>
      </w:r>
      <w:r>
        <w:rPr>
          <w:rFonts w:hint="eastAsia" w:ascii="宋体" w:hAnsi="宋体" w:eastAsia="宋体" w:cs="宋体"/>
          <w:color w:val="auto"/>
          <w:sz w:val="24"/>
          <w:szCs w:val="24"/>
          <w:highlight w:val="none"/>
          <w:lang w:val="en-US" w:eastAsia="zh-CN"/>
        </w:rPr>
        <w:t xml:space="preserve">（接受/不接受）进口产品。</w:t>
      </w:r>
      <w:r/>
    </w:p>
    <w:p>
      <w:pPr>
        <w:numPr>
          <w:ilvl w:val="0"/>
          <w:numId w:val="0"/>
        </w:numPr>
        <w:ind w:firstLine="482"/>
        <w:keepLines w:val="0"/>
        <w:keepNext w:val="0"/>
        <w:pageBreakBefore w:val="0"/>
        <w:spacing w:line="560" w:lineRule="exact"/>
        <w:widowControl/>
        <w:rPr>
          <w:rStyle w:val="847"/>
          <w:rFonts w:hint="eastAsia" w:ascii="宋体" w:hAnsi="宋体" w:eastAsia="宋体" w:cs="宋体"/>
          <w:b/>
          <w:bCs/>
          <w:color w:val="auto"/>
          <w:sz w:val="24"/>
          <w:szCs w:val="22"/>
          <w:highlight w:val="none"/>
          <w:lang w:val="en-US" w:eastAsia="zh-CN" w:bidi="ar-SA"/>
        </w:rPr>
      </w:pPr>
      <w:r/>
      <w:bookmarkStart w:id="193" w:name="_Toc760"/>
      <w:r/>
      <w:bookmarkStart w:id="194" w:name="_Toc111564910"/>
      <w:r/>
      <w:bookmarkStart w:id="195" w:name="_Toc31498"/>
      <w:r/>
      <w:bookmarkStart w:id="196" w:name="_Toc256000014"/>
      <w:r>
        <w:rPr>
          <w:rFonts w:hint="eastAsia" w:ascii="宋体" w:hAnsi="宋体" w:eastAsia="宋体" w:cs="宋体"/>
          <w:b/>
          <w:bCs/>
          <w:color w:val="auto"/>
          <w:sz w:val="24"/>
          <w:szCs w:val="22"/>
          <w:highlight w:val="none"/>
          <w:lang w:val="en-US" w:eastAsia="zh-CN" w:bidi="ar-SA"/>
        </w:rPr>
        <w:t xml:space="preserve">一、</w:t>
      </w:r>
      <w:r>
        <w:rPr>
          <w:rStyle w:val="847"/>
          <w:rFonts w:hint="eastAsia" w:ascii="宋体" w:hAnsi="宋体" w:eastAsia="宋体" w:cs="宋体"/>
          <w:b/>
          <w:bCs/>
          <w:color w:val="auto"/>
          <w:sz w:val="24"/>
          <w:szCs w:val="22"/>
          <w:highlight w:val="none"/>
          <w:lang w:val="en-US" w:eastAsia="zh-CN" w:bidi="ar-SA"/>
        </w:rPr>
        <w:t xml:space="preserve">项目概况</w:t>
      </w:r>
      <w:bookmarkEnd w:id="193"/>
      <w:r/>
      <w:bookmarkEnd w:id="194"/>
      <w:r/>
      <w:bookmarkEnd w:id="195"/>
      <w:r/>
      <w:bookmarkEnd w:id="196"/>
      <w:r/>
      <w:r/>
    </w:p>
    <w:p>
      <w:pPr>
        <w:numPr>
          <w:ilvl w:val="0"/>
          <w:numId w:val="0"/>
        </w:numPr>
        <w:ind w:firstLine="480"/>
        <w:keepLines w:val="0"/>
        <w:keepNext w:val="0"/>
        <w:pageBreakBefore w:val="0"/>
        <w:spacing w:line="560" w:lineRule="exact"/>
        <w:widowControl/>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（一）2026年度市级通用应急物资采购项目，本次采购应急救灾帐篷、折叠床，项目总预算100万元，核心产品为救灾帐篷。</w:t>
      </w:r>
      <w:r/>
    </w:p>
    <w:p>
      <w:pPr>
        <w:ind w:firstLine="482"/>
        <w:keepLines w:val="0"/>
        <w:keepNext w:val="0"/>
        <w:pageBreakBefore w:val="0"/>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二、合同履行期限、质保期、质量要求及</w:t>
      </w:r>
      <w:r>
        <w:rPr>
          <w:rFonts w:hint="eastAsia" w:ascii="宋体" w:hAnsi="宋体" w:eastAsia="宋体" w:cs="宋体"/>
          <w:b/>
          <w:color w:val="auto"/>
          <w:sz w:val="24"/>
          <w:szCs w:val="24"/>
          <w:highlight w:val="none"/>
          <w:lang w:eastAsia="zh-CN"/>
        </w:rPr>
        <w:t xml:space="preserve">供货</w:t>
      </w:r>
      <w:r>
        <w:rPr>
          <w:rFonts w:hint="eastAsia" w:ascii="宋体" w:hAnsi="宋体" w:eastAsia="宋体" w:cs="宋体"/>
          <w:b/>
          <w:color w:val="auto"/>
          <w:sz w:val="24"/>
          <w:szCs w:val="24"/>
          <w:highlight w:val="none"/>
        </w:rPr>
        <w:t xml:space="preserve">地点</w:t>
      </w:r>
      <w:r/>
    </w:p>
    <w:p>
      <w:pPr>
        <w:numPr>
          <w:ilvl w:val="0"/>
          <w:numId w:val="0"/>
        </w:numPr>
        <w:ind w:firstLine="480"/>
        <w:keepLines w:val="0"/>
        <w:keepNext w:val="0"/>
        <w:pageBreakBefore w:val="0"/>
        <w:spacing w:line="560" w:lineRule="exact"/>
        <w:widowControl/>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（一）供货期：合同签订生效后30日内。</w:t>
      </w:r>
      <w:r/>
    </w:p>
    <w:p>
      <w:pPr>
        <w:numPr>
          <w:ilvl w:val="0"/>
          <w:numId w:val="0"/>
        </w:numPr>
        <w:ind w:firstLine="480"/>
        <w:keepLines w:val="0"/>
        <w:keepNext w:val="0"/>
        <w:pageBreakBefore w:val="0"/>
        <w:spacing w:line="560" w:lineRule="exact"/>
        <w:widowControl/>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（二）质保期：6年，质保期的起始时间以验收合格之日起开始计算。</w:t>
      </w:r>
      <w:r/>
    </w:p>
    <w:p>
      <w:pPr>
        <w:numPr>
          <w:ilvl w:val="0"/>
          <w:numId w:val="0"/>
        </w:numPr>
        <w:ind w:firstLine="480"/>
        <w:keepLines w:val="0"/>
        <w:keepNext w:val="0"/>
        <w:pageBreakBefore w:val="0"/>
        <w:spacing w:line="560" w:lineRule="exact"/>
        <w:widowControl/>
        <w:rPr>
          <w:rStyle w:val="847"/>
          <w:rFonts w:hint="eastAsia" w:ascii="宋体" w:hAnsi="宋体" w:eastAsia="宋体" w:cs="宋体"/>
          <w:color w:val="auto"/>
          <w:sz w:val="24"/>
          <w:szCs w:val="24"/>
          <w:highlight w:val="none"/>
          <w:lang w:val="en-US" w:eastAsia="zh-CN" w:bidi="ar-SA"/>
        </w:rPr>
      </w:pPr>
      <w:r/>
      <w:bookmarkStart w:id="197" w:name="_Toc495673448"/>
      <w:r/>
      <w:bookmarkStart w:id="198" w:name="_Toc5123"/>
      <w:r/>
      <w:bookmarkStart w:id="199" w:name="_Toc514921155"/>
      <w:r/>
      <w:bookmarkStart w:id="200" w:name="_Toc462997022"/>
      <w:r/>
      <w:bookmarkStart w:id="201" w:name="_Toc256000038"/>
      <w:r/>
      <w:bookmarkStart w:id="202" w:name="_Toc105493079"/>
      <w:r/>
      <w:bookmarkStart w:id="203" w:name="_Toc12084"/>
      <w:r/>
      <w:bookmarkStart w:id="204" w:name="_Toc256000015"/>
      <w:r/>
      <w:bookmarkStart w:id="205" w:name="_Toc510533529"/>
      <w:r/>
      <w:bookmarkStart w:id="206" w:name="_Toc111564911"/>
      <w:r/>
      <w:bookmarkStart w:id="207" w:name="_Toc18066"/>
      <w:r/>
      <w:bookmarkStart w:id="208" w:name="_Toc536788500"/>
      <w:r/>
      <w:bookmarkStart w:id="209" w:name="_Toc514426469"/>
      <w:r>
        <w:rPr>
          <w:rStyle w:val="847"/>
          <w:rFonts w:hint="eastAsia" w:ascii="宋体" w:hAnsi="宋体" w:eastAsia="宋体" w:cs="宋体"/>
          <w:color w:val="auto"/>
          <w:sz w:val="24"/>
          <w:szCs w:val="24"/>
          <w:highlight w:val="none"/>
          <w:lang w:val="en-US" w:eastAsia="zh-CN" w:bidi="ar-SA"/>
        </w:rPr>
        <w:t xml:space="preserve">（三）质量要求：产品合格及以上；提供的产品性能及质量有国家标准的应符合国家标准。无国家标准的应符合行业标准或企业标准，并满足招标文件要求，实现投标文件承诺需求。</w:t>
      </w:r>
      <w:r/>
    </w:p>
    <w:p>
      <w:pPr>
        <w:numPr>
          <w:ilvl w:val="0"/>
          <w:numId w:val="0"/>
        </w:numPr>
        <w:ind w:firstLine="480"/>
        <w:keepLines w:val="0"/>
        <w:keepNext w:val="0"/>
        <w:pageBreakBefore w:val="0"/>
        <w:spacing w:line="560" w:lineRule="exact"/>
        <w:widowControl/>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（四）供货地点：采购单位指定地点。</w:t>
      </w:r>
      <w:r/>
    </w:p>
    <w:p>
      <w:pPr>
        <w:numPr>
          <w:ilvl w:val="0"/>
          <w:numId w:val="0"/>
        </w:numPr>
        <w:ind w:firstLine="482"/>
        <w:keepLines w:val="0"/>
        <w:keepNext w:val="0"/>
        <w:pageBreakBefore w:val="0"/>
        <w:spacing w:line="560" w:lineRule="exact"/>
        <w:widowControl/>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三、采购清单</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hint="eastAsia" w:ascii="宋体" w:hAnsi="宋体" w:eastAsia="宋体" w:cs="宋体"/>
          <w:b/>
          <w:bCs/>
          <w:color w:val="auto"/>
          <w:sz w:val="24"/>
          <w:szCs w:val="22"/>
          <w:highlight w:val="none"/>
          <w:lang w:val="en-US" w:eastAsia="zh-CN" w:bidi="ar-SA"/>
        </w:rPr>
        <w:t xml:space="preserve">及技术参数</w:t>
      </w:r>
      <w:r/>
    </w:p>
    <w:tbl>
      <w:tblPr>
        <w:tblStyle w:val="848"/>
        <w:tblpPr w:horzAnchor="page" w:tblpXSpec="center" w:vertAnchor="text" w:tblpY="42" w:leftFromText="180" w:topFromText="0" w:rightFromText="180" w:bottomFromText="0"/>
        <w:tblW w:w="846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681"/>
        <w:gridCol w:w="957"/>
        <w:gridCol w:w="5857"/>
        <w:gridCol w:w="970"/>
      </w:tblGrid>
      <w:tr>
        <w:trPr>
          <w:jc w:val="center"/>
        </w:trPr>
        <w:tc>
          <w:tcPr>
            <w:shd w:val="clear" w:color="auto" w:fill="ffffff"/>
            <w:tcW w:w="681"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序号</w:t>
            </w:r>
            <w:r/>
          </w:p>
        </w:tc>
        <w:tc>
          <w:tcPr>
            <w:shd w:val="clear" w:color="auto" w:fill="ffffff"/>
            <w:tcW w:w="957"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产品名称</w:t>
            </w:r>
            <w:r/>
          </w:p>
        </w:tc>
        <w:tc>
          <w:tcPr>
            <w:shd w:val="clear" w:color="auto" w:fill="ffffff"/>
            <w:tcW w:w="5857"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技术规格</w:t>
            </w:r>
            <w:r/>
          </w:p>
        </w:tc>
        <w:tc>
          <w:tcPr>
            <w:shd w:val="clear" w:color="auto" w:fill="ffffff"/>
            <w:tcW w:w="970"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数量</w:t>
            </w:r>
            <w:r/>
          </w:p>
        </w:tc>
      </w:tr>
      <w:tr>
        <w:trPr>
          <w:jc w:val="center"/>
        </w:trPr>
        <w:tc>
          <w:tcPr>
            <w:shd w:val="clear" w:color="auto" w:fill="ffffff"/>
            <w:tcW w:w="681"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1</w:t>
            </w:r>
            <w:r/>
          </w:p>
        </w:tc>
        <w:tc>
          <w:tcPr>
            <w:shd w:val="clear" w:color="auto" w:fill="ffffff"/>
            <w:tcW w:w="957"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单帐篷(12m</w:t>
            </w:r>
            <w:r>
              <w:rPr>
                <w:rFonts w:hint="eastAsia" w:ascii="宋体" w:hAnsi="宋体" w:eastAsia="宋体" w:cs="宋体"/>
                <w:i w:val="0"/>
                <w:caps w:val="0"/>
                <w:color w:val="auto"/>
                <w:spacing w:val="0"/>
                <w:sz w:val="21"/>
                <w:szCs w:val="21"/>
                <w:highlight w:val="none"/>
                <w:vertAlign w:val="superscript"/>
                <w:lang w:val="en-US" w:eastAsia="zh-CN" w:bidi="ar"/>
              </w:rPr>
              <w:t xml:space="preserve">2</w:t>
            </w:r>
            <w:r>
              <w:rPr>
                <w:rFonts w:hint="eastAsia" w:ascii="宋体" w:hAnsi="宋体" w:eastAsia="宋体" w:cs="宋体"/>
                <w:i w:val="0"/>
                <w:caps w:val="0"/>
                <w:color w:val="auto"/>
                <w:spacing w:val="0"/>
                <w:sz w:val="21"/>
                <w:szCs w:val="21"/>
                <w:highlight w:val="none"/>
                <w:lang w:val="en-US" w:eastAsia="zh-CN" w:bidi="ar"/>
              </w:rPr>
              <w:t xml:space="preserve">)</w:t>
            </w:r>
            <w:r/>
          </w:p>
        </w:tc>
        <w:tc>
          <w:tcPr>
            <w:shd w:val="clear" w:color="auto" w:fill="ffffff"/>
            <w:tcW w:w="585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★1.产品需符合中华人民共和国国家标准GB/T 44010-2024《救灾帐篷 通用技术要求》，明确具体的品牌、型号，并提供有CMA资质的第三方检测机构出具的检测报告复印件，未提供的作无效投标文件处理。</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救灾12m2单帐篷为长方形双坡面直墙建筑样式。出入门在一侧山墙上，顶部开三角窗一个；另一侧山墙开方形窗一个,顶部开三角窗一个；两侧墙各开方形窗户两个，配可拆卸纱围一个。整体帐篷通过拉绳用三角桩固定。</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3.产品由篷体、纱围、框架及配件（含三角桩、拉绳、包装袋）等部分组成。</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4.尺寸：篷体长度3700mm（极限偏差+30mm），篷体宽度3200mm（极限偏差+30mm）。侧墙高度1750mm（极限偏差+20mm）。脊顶高2670mm（极限偏差+20mm），使用面积≥12㎡。</w:t>
            </w:r>
            <w:r/>
          </w:p>
          <w:p>
            <w:pPr>
              <w:jc w:val="left"/>
              <w:keepLines w:val="0"/>
              <w:keepNext w:val="0"/>
              <w:pageBreakBefore w:val="0"/>
              <w:spacing w:line="420" w:lineRule="exact"/>
              <w:widowControl/>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5.篷架为插接式框架结构，柱底四周全部设有落地横杆，能在自重和8级风力荷载作用下安全使用，确保框架不变形、篷体不撕裂、连接件不松脱。</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6.框架由通用杆、山墙地杆、立杆和端架三通、中架四通、地杆四通及钢丝拉绳组件组成，通用杆、山墙地杆、立杆采用6005 T6 Φ25 mm×1.2 mm铝合金管，山墙地杆套管采用6005 T6 Φ28 mm×1.0mm铝合金管，端架三通、中架四通、地杆四通采用Q215 Φ28 mm×1.0 mm焊接钢管。</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7.篷布采用≥333dtex×333dtex涤纶天蓝色PU防水阻燃涂层布。</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8.篷布阻燃性能：损毁长度≤150mm，经纬向续燃时间和阴燃时间≤15s，熔融滴落物不应引起脱脂棉燃烧或阴燃。</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9.篷布静水压：未经折叠部位≥50kPa，折叠后有折痕部位≥30kPa。</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10.篷布断裂强力：经向≥1600N，纬向≥1300N；撕破强力：经向≥40N，纬向≥35N。</w:t>
            </w:r>
            <w:r/>
          </w:p>
          <w:p>
            <w:pPr>
              <w:jc w:val="left"/>
              <w:keepLines w:val="0"/>
              <w:keepNext w:val="0"/>
              <w:pageBreakBefore w:val="0"/>
              <w:spacing w:line="420" w:lineRule="exact"/>
              <w:widowControl w:val="off"/>
              <w:rPr>
                <w:rFonts w:hint="eastAsia" w:ascii="宋体" w:hAnsi="宋体" w:eastAsia="宋体" w:cs="宋体"/>
                <w:color w:val="auto"/>
                <w:sz w:val="22"/>
                <w:szCs w:val="22"/>
                <w:highlight w:val="yellow"/>
                <w:lang w:val="en-US" w:eastAsia="zh-CN" w:bidi="ar"/>
              </w:rPr>
            </w:pPr>
            <w:r>
              <w:rPr>
                <w:rFonts w:hint="eastAsia" w:ascii="宋体" w:hAnsi="宋体" w:eastAsia="宋体" w:cs="宋体"/>
                <w:color w:val="auto"/>
                <w:sz w:val="22"/>
                <w:szCs w:val="22"/>
                <w:highlight w:val="none"/>
                <w:lang w:val="en-US" w:eastAsia="zh-CN" w:bidi="ar"/>
              </w:rPr>
              <w:t xml:space="preserve">11.</w:t>
            </w:r>
            <w:r>
              <w:rPr>
                <w:rFonts w:hint="eastAsia" w:ascii="宋体" w:hAnsi="宋体" w:eastAsia="宋体" w:cs="宋体"/>
                <w:color w:val="auto"/>
                <w:sz w:val="22"/>
                <w:szCs w:val="22"/>
                <w:highlight w:val="none"/>
                <w:lang w:bidi="ar"/>
              </w:rPr>
              <w:t xml:space="preserve">标识印刷采用“应急救灾”</w:t>
            </w:r>
            <w:r>
              <w:rPr>
                <w:rFonts w:hint="eastAsia" w:ascii="宋体" w:hAnsi="宋体" w:eastAsia="宋体" w:cs="宋体"/>
                <w:color w:val="auto"/>
                <w:sz w:val="22"/>
                <w:szCs w:val="22"/>
                <w:highlight w:val="none"/>
                <w:lang w:eastAsia="zh-CN" w:bidi="ar"/>
              </w:rPr>
              <w:t xml:space="preserve">，字迹清晰、色牢度达标。</w:t>
            </w:r>
            <w:r/>
          </w:p>
          <w:p>
            <w:pPr>
              <w:numPr>
                <w:ilvl w:val="0"/>
                <w:numId w:val="0"/>
              </w:num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12.</w:t>
            </w:r>
            <w:r>
              <w:rPr>
                <w:rFonts w:hint="eastAsia" w:ascii="宋体" w:hAnsi="宋体" w:eastAsia="宋体" w:cs="宋体"/>
                <w:color w:val="auto"/>
                <w:sz w:val="22"/>
                <w:szCs w:val="22"/>
                <w:highlight w:val="none"/>
                <w:lang w:bidi="ar"/>
              </w:rPr>
              <w:t xml:space="preserve">包装上注明：产品名称、尺寸、数量、重量、生产日期、承制单位和监制单位</w:t>
            </w:r>
            <w:r>
              <w:rPr>
                <w:rFonts w:hint="eastAsia" w:ascii="宋体" w:hAnsi="宋体" w:eastAsia="宋体" w:cs="宋体"/>
                <w:color w:val="auto"/>
                <w:sz w:val="22"/>
                <w:szCs w:val="22"/>
                <w:highlight w:val="none"/>
                <w:lang w:eastAsia="zh-CN" w:bidi="ar"/>
              </w:rPr>
              <w:t xml:space="preserve">，包装牢固防磕碰。</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注：产品具体规格参数参照《救灾专用 12m2单帐篷技术文件》产品标准要求。（详见附件1）</w:t>
            </w:r>
            <w:r/>
          </w:p>
        </w:tc>
        <w:tc>
          <w:tcPr>
            <w:shd w:val="clear" w:color="auto" w:fill="ffffff"/>
            <w:tcW w:w="970"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lang w:val="en-US" w:eastAsia="zh-CN" w:bidi="ar"/>
              </w:rPr>
              <w:t xml:space="preserve">500套</w:t>
            </w:r>
            <w:r/>
          </w:p>
        </w:tc>
      </w:tr>
      <w:tr>
        <w:trPr>
          <w:jc w:val="center"/>
        </w:trPr>
        <w:tc>
          <w:tcPr>
            <w:shd w:val="clear" w:color="auto" w:fill="ffffff"/>
            <w:tcW w:w="681"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lang w:val="en-US" w:eastAsia="zh-CN"/>
              </w:rPr>
              <w:suppressLineNumbers w:val="0"/>
            </w:pPr>
            <w:r>
              <w:rPr>
                <w:rFonts w:hint="eastAsia" w:ascii="宋体" w:hAnsi="宋体" w:eastAsia="宋体" w:cs="宋体"/>
                <w:i w:val="0"/>
                <w:caps w:val="0"/>
                <w:color w:val="auto"/>
                <w:spacing w:val="0"/>
                <w:sz w:val="21"/>
                <w:szCs w:val="21"/>
                <w:highlight w:val="none"/>
                <w:lang w:val="en-US" w:eastAsia="zh-CN"/>
              </w:rPr>
              <w:t xml:space="preserve">2</w:t>
            </w:r>
            <w:r/>
          </w:p>
        </w:tc>
        <w:tc>
          <w:tcPr>
            <w:shd w:val="clear" w:color="auto" w:fill="ffffff"/>
            <w:tcW w:w="957"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rPr>
              <w:suppressLineNumbers w:val="0"/>
            </w:pPr>
            <w:r>
              <w:rPr>
                <w:rFonts w:hint="eastAsia" w:ascii="宋体" w:hAnsi="宋体" w:eastAsia="宋体" w:cs="宋体"/>
                <w:i w:val="0"/>
                <w:caps w:val="0"/>
                <w:color w:val="auto"/>
                <w:spacing w:val="0"/>
                <w:sz w:val="21"/>
                <w:szCs w:val="21"/>
                <w:highlight w:val="none"/>
              </w:rPr>
              <w:t xml:space="preserve">折叠床</w:t>
            </w:r>
            <w:r/>
          </w:p>
        </w:tc>
        <w:tc>
          <w:tcPr>
            <w:shd w:val="clear" w:color="auto" w:fill="ffffff"/>
            <w:tcW w:w="5857" w:type="dxa"/>
            <w:vAlign w:val="center"/>
            <w:textDirection w:val="lrTb"/>
            <w:noWrap w:val="false"/>
          </w:tcPr>
          <w:p>
            <w:p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★1.产品需符合YJ/T 11.1-2010《救灾装具 第 1 部分：折叠床》（原 MZ/T 015.1-2010），明确具体的品牌、型号，并提供有CMA资质的第三方出具的检测报告复印件，未提供的作无效投标文件处理。</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.折叠床成品尺寸：</w:t>
            </w:r>
            <w:r>
              <w:rPr>
                <w:rFonts w:hint="eastAsia" w:ascii="宋体" w:hAnsi="宋体" w:eastAsia="宋体" w:cs="宋体"/>
                <w:color w:val="auto"/>
                <w:sz w:val="22"/>
                <w:szCs w:val="22"/>
                <w:highlight w:val="none"/>
                <w:lang w:val="en-US" w:eastAsia="zh-CN"/>
              </w:rPr>
              <w:t xml:space="preserve">长1850mm（允许正偏离不超过10mm）、宽700mm（允许正偏离不超过5mm）、高350mm</w:t>
            </w:r>
            <w:r>
              <w:rPr>
                <w:rFonts w:hint="eastAsia" w:ascii="宋体" w:hAnsi="宋体" w:eastAsia="宋体" w:cs="宋体"/>
                <w:color w:val="auto"/>
                <w:sz w:val="22"/>
                <w:szCs w:val="22"/>
                <w:highlight w:val="none"/>
              </w:rPr>
              <w:t xml:space="preserve">。</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.专用折叠床为钢管床架折叠式。折叠床</w:t>
            </w:r>
            <w:r>
              <w:rPr>
                <w:rFonts w:hint="eastAsia" w:ascii="宋体" w:hAnsi="宋体" w:eastAsia="宋体" w:cs="宋体"/>
                <w:color w:val="auto"/>
                <w:sz w:val="22"/>
                <w:szCs w:val="22"/>
                <w:highlight w:val="none"/>
                <w:lang w:eastAsia="zh-CN"/>
              </w:rPr>
              <w:t xml:space="preserve">由</w:t>
            </w:r>
            <w:r>
              <w:rPr>
                <w:rFonts w:hint="eastAsia" w:ascii="宋体" w:hAnsi="宋体" w:eastAsia="宋体" w:cs="宋体"/>
                <w:color w:val="auto"/>
                <w:sz w:val="22"/>
                <w:szCs w:val="22"/>
                <w:highlight w:val="none"/>
              </w:rPr>
              <w:t xml:space="preserve">床面和床架两部分组成，床头附带一个可搭扣的枕头，床面的上半部位加垫塑料板一块，塑料板在使用时向床尾方向推，折叠时向床头方向推。床背面配置可调节束紧带两条。</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.面料：天蓝666dtex×666dtex涤纶低弹丝PVC涂层布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须符合 GB 18401-2010 B 类要求，甲醛含量≤75mg/kg，禁用可分解致癌芳香胺染料。</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.床架采用≥Q195 Φ25mm×1.1mm焊接钢管，做防锈喷塑处理为白色。</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.床垫采用PVC塑料板840mm×500mm×4mm。</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.床架要求：床整体支撑后水平偏差不得超过5 mm；床架、床脚及折页各配件喷塑前需除油、除锈、磷化处理后再进行喷塑环氧树脂处理，颜色为本白；床架、床脚100°～105°弯曲部位应规整，各配件表面应光洁，不得有毛刺、锐角，管材不得有裂纹；活动三节环经电镀锌钝化处理，镀层应细致、均匀，不得有镀层粗糙、烧焦、起泡、裂纹、脱落等缺陷。</w:t>
            </w:r>
            <w:r/>
          </w:p>
          <w:p>
            <w:pPr>
              <w:jc w:val="left"/>
              <w:keepLines w:val="0"/>
              <w:keepNext w:val="0"/>
              <w:pageBreakBefore w:val="0"/>
              <w:spacing w:line="42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每张床承重量≥1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0kg。</w:t>
            </w:r>
            <w:r/>
          </w:p>
          <w:p>
            <w:pPr>
              <w:jc w:val="left"/>
              <w:keepLines w:val="0"/>
              <w:keepNext w:val="0"/>
              <w:pageBreakBefore w:val="0"/>
              <w:spacing w:line="420" w:lineRule="exact"/>
              <w:widowControl w:val="off"/>
              <w:rPr>
                <w:rFonts w:hint="eastAsia" w:ascii="宋体" w:hAnsi="宋体" w:eastAsia="宋体" w:cs="宋体"/>
                <w:i w:val="0"/>
                <w:caps w:val="0"/>
                <w:color w:val="auto"/>
                <w:spacing w:val="0"/>
                <w:sz w:val="21"/>
                <w:szCs w:val="21"/>
                <w:highlight w:val="none"/>
              </w:rPr>
            </w:pPr>
            <w:r>
              <w:rPr>
                <w:rFonts w:hint="eastAsia" w:ascii="宋体" w:hAnsi="宋体" w:eastAsia="宋体" w:cs="宋体"/>
                <w:color w:val="auto"/>
                <w:sz w:val="22"/>
                <w:szCs w:val="22"/>
                <w:highlight w:val="none"/>
                <w:lang w:val="en-US" w:eastAsia="zh-CN"/>
              </w:rPr>
              <w:t xml:space="preserve">9.异味要求：产品开箱后无强烈刺鼻性异味，常温通风放置 24h 后无明显刺激性不适气味。</w:t>
            </w:r>
            <w:r/>
          </w:p>
        </w:tc>
        <w:tc>
          <w:tcPr>
            <w:shd w:val="clear" w:color="auto" w:fill="ffffff"/>
            <w:tcW w:w="970" w:type="dxa"/>
            <w:vAlign w:val="center"/>
            <w:textDirection w:val="lrTb"/>
            <w:noWrap w:val="false"/>
          </w:tcPr>
          <w:p>
            <w:pPr>
              <w:ind w:left="0" w:firstLine="0"/>
              <w:jc w:val="center"/>
              <w:keepLines w:val="0"/>
              <w:keepNext w:val="0"/>
              <w:widowControl/>
              <w:rPr>
                <w:rFonts w:hint="eastAsia" w:ascii="宋体" w:hAnsi="宋体" w:eastAsia="宋体" w:cs="宋体"/>
                <w:i w:val="0"/>
                <w:caps w:val="0"/>
                <w:color w:val="auto"/>
                <w:spacing w:val="0"/>
                <w:sz w:val="21"/>
                <w:szCs w:val="21"/>
                <w:highlight w:val="none"/>
                <w:lang w:val="en-US"/>
              </w:rPr>
              <w:suppressLineNumbers w:val="0"/>
            </w:pPr>
            <w:r>
              <w:rPr>
                <w:rFonts w:hint="eastAsia" w:ascii="宋体" w:hAnsi="宋体" w:eastAsia="宋体" w:cs="宋体"/>
                <w:i w:val="0"/>
                <w:caps w:val="0"/>
                <w:color w:val="auto"/>
                <w:spacing w:val="0"/>
                <w:sz w:val="21"/>
                <w:szCs w:val="21"/>
                <w:highlight w:val="none"/>
                <w:lang w:val="en-US" w:eastAsia="zh-CN"/>
              </w:rPr>
              <w:t xml:space="preserve">1600张</w:t>
            </w:r>
            <w:r/>
          </w:p>
        </w:tc>
      </w:tr>
      <w:tr>
        <w:trPr>
          <w:jc w:val="center"/>
        </w:trPr>
        <w:tc>
          <w:tcPr>
            <w:gridSpan w:val="4"/>
            <w:shd w:val="clear" w:color="auto" w:fill="ffffff"/>
            <w:tcW w:w="8465" w:type="dxa"/>
            <w:vAlign w:val="center"/>
            <w:textDirection w:val="lrTb"/>
            <w:noWrap w:val="false"/>
          </w:tcPr>
          <w:p>
            <w:pPr>
              <w:numPr>
                <w:ilvl w:val="0"/>
                <w:numId w:val="0"/>
              </w:num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其他要求：</w:t>
            </w:r>
            <w:r/>
          </w:p>
          <w:p>
            <w:pPr>
              <w:numPr>
                <w:ilvl w:val="0"/>
                <w:numId w:val="0"/>
              </w:numPr>
              <w:jc w:val="left"/>
              <w:keepLines w:val="0"/>
              <w:keepNext w:val="0"/>
              <w:pageBreakBefore w:val="0"/>
              <w:spacing w:line="42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bidi="ar"/>
              </w:rPr>
              <w:t xml:space="preserve">产品外包装及产品上均印有二维码，二维码内容包括但不限于以下信息：产品名称、规格、数量、重量、使用说明、生产单位、监制单位、安装/搭建视频等，使用者通过手机扫描二维码即可观看产品使用说明及安装/搭建视频。</w:t>
            </w:r>
            <w:r/>
          </w:p>
          <w:p>
            <w:pPr>
              <w:ind w:left="0" w:firstLine="0"/>
              <w:jc w:val="left"/>
              <w:keepLines w:val="0"/>
              <w:keepNext w:val="0"/>
              <w:pageBreakBefore w:val="0"/>
              <w:spacing w:line="420" w:lineRule="exact"/>
              <w:widowControl/>
              <w:rPr>
                <w:rFonts w:hint="eastAsia" w:ascii="宋体" w:hAnsi="宋体" w:eastAsia="宋体" w:cs="宋体"/>
                <w:i w:val="0"/>
                <w:caps w:val="0"/>
                <w:color w:val="auto"/>
                <w:spacing w:val="0"/>
                <w:sz w:val="21"/>
                <w:szCs w:val="21"/>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2.产品外包装及产品需印制应急救灾物资专用标识。应急救灾物资专用标识应符合《应急救灾物资标识推广使用指南》（国防减救灾办发【2024】12号）有关要求（详见附件2），进行统一印制。标识颜色分为彩色和白色两个版本。标识图案可单独使用，在特定面积内，设其高度为1，则标识高度比例为0.6；搭配“应急救灾”字样使用时标识高度比例为0.8。</w:t>
            </w:r>
            <w:r/>
          </w:p>
        </w:tc>
      </w:tr>
    </w:tbl>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8"/>
          <w:highlight w:val="none"/>
        </w:rPr>
      </w:pPr>
      <w:r/>
      <w:bookmarkStart w:id="210" w:name="_Toc2821_WPSOffice_Level1"/>
      <w:r>
        <w:rPr>
          <w:rFonts w:hint="eastAsia" w:ascii="宋体" w:hAnsi="宋体" w:eastAsia="宋体" w:cs="宋体"/>
          <w:color w:val="auto"/>
          <w:szCs w:val="28"/>
          <w:highlight w:val="none"/>
        </w:rPr>
        <w:br w:type="page" w:clear="all"/>
      </w:r>
      <w:bookmarkEnd w:id="210"/>
      <w:r/>
      <w:r/>
    </w:p>
    <w:p>
      <w:pPr>
        <w:pStyle w:val="839"/>
        <w:jc w:val="left"/>
        <w:spacing w:before="0" w:after="0" w:line="240" w:lineRule="auto"/>
        <w:widowControl w:val="off"/>
        <w:rPr>
          <w:rFonts w:hint="default" w:ascii="Times New Roman" w:hAnsi="Times New Roman" w:eastAsia="仿宋_GB2312" w:cs="Times New Roman"/>
          <w:color w:val="auto"/>
          <w:szCs w:val="28"/>
          <w:highlight w:val="none"/>
        </w:rPr>
      </w:pPr>
      <w:r>
        <w:rPr>
          <w:rFonts w:hint="eastAsia" w:ascii="国标黑体" w:hAnsi="国标黑体" w:eastAsia="国标黑体" w:cs="国标黑体"/>
          <w:b/>
          <w:color w:val="auto"/>
          <w:sz w:val="28"/>
          <w:szCs w:val="28"/>
          <w:highlight w:val="none"/>
          <w:lang w:val="en-US" w:eastAsia="zh-CN" w:bidi="ar-SA"/>
        </w:rPr>
        <w:t xml:space="preserve">附件</w:t>
      </w:r>
      <w:r>
        <w:rPr>
          <w:rFonts w:hint="default" w:ascii="国标黑体" w:hAnsi="国标黑体" w:eastAsia="国标黑体" w:cs="国标黑体"/>
          <w:b/>
          <w:color w:val="auto"/>
          <w:sz w:val="28"/>
          <w:szCs w:val="28"/>
          <w:highlight w:val="none"/>
          <w:lang w:val="en-US" w:eastAsia="zh-CN" w:bidi="ar-SA"/>
        </w:rPr>
        <w:t xml:space="preserve">1：</w:t>
      </w:r>
      <w:bookmarkStart w:id="211" w:name="_Toc418769746"/>
      <w:r/>
      <w:bookmarkStart w:id="212" w:name="_Toc4763"/>
      <w:r/>
      <w:bookmarkStart w:id="213" w:name="_Toc27936"/>
      <w:r/>
      <w:bookmarkStart w:id="214" w:name="_Toc49120547"/>
      <w:r/>
      <w:bookmarkStart w:id="215" w:name="_Toc49033508"/>
      <w:r/>
      <w:bookmarkStart w:id="216" w:name="SectionMark4"/>
      <w:r/>
      <w:r/>
    </w:p>
    <w:p>
      <w:pPr>
        <w:pStyle w:val="839"/>
        <w:jc w:val="center"/>
        <w:keepLines/>
        <w:keepNext/>
        <w:pageBreakBefore w:val="0"/>
        <w:spacing w:before="157" w:after="0" w:line="240" w:lineRule="auto"/>
        <w:widowControl w:val="off"/>
        <w:rPr>
          <w:rFonts w:hint="eastAsia" w:ascii="宋体" w:hAnsi="宋体" w:cs="宋体"/>
          <w:b w:val="0"/>
          <w:bCs/>
          <w:color w:val="auto"/>
          <w:sz w:val="32"/>
          <w:szCs w:val="32"/>
          <w:highlight w:val="none"/>
        </w:rPr>
      </w:pPr>
      <w:r>
        <w:rPr>
          <w:rFonts w:hint="eastAsia" w:ascii="宋体" w:hAnsi="宋体" w:eastAsia="宋体" w:cs="宋体"/>
          <w:b w:val="0"/>
          <w:bCs/>
          <w:color w:val="auto"/>
          <w:sz w:val="32"/>
          <w:szCs w:val="32"/>
          <w:highlight w:val="none"/>
        </w:rPr>
        <w:t xml:space="preserve">救灾专用 12m</w:t>
      </w:r>
      <w:r>
        <w:rPr>
          <w:rFonts w:hint="eastAsia" w:ascii="宋体" w:hAnsi="宋体" w:eastAsia="方正小标宋_GBK" w:cs="宋体"/>
          <w:b w:val="0"/>
          <w:bCs/>
          <w:color w:val="auto"/>
          <w:sz w:val="32"/>
          <w:szCs w:val="32"/>
          <w:highlight w:val="none"/>
          <w:vertAlign w:val="superscript"/>
        </w:rPr>
        <w:t xml:space="preserve">2</w:t>
      </w:r>
      <w:r>
        <w:rPr>
          <w:rFonts w:hint="eastAsia" w:ascii="宋体" w:hAnsi="宋体" w:eastAsia="宋体" w:cs="宋体"/>
          <w:b w:val="0"/>
          <w:bCs/>
          <w:color w:val="auto"/>
          <w:sz w:val="32"/>
          <w:szCs w:val="32"/>
          <w:highlight w:val="none"/>
        </w:rPr>
        <w:t xml:space="preserve">单帐篷</w:t>
      </w:r>
      <w:bookmarkEnd w:id="211"/>
      <w:r>
        <w:rPr>
          <w:rFonts w:ascii="宋体" w:hAnsi="宋体" w:cs="宋体"/>
        </w:rPr>
      </w:r>
      <w:bookmarkEnd w:id="212"/>
      <w:r>
        <w:rPr>
          <w:rFonts w:ascii="宋体" w:hAnsi="宋体" w:cs="宋体"/>
        </w:rPr>
      </w:r>
      <w:bookmarkEnd w:id="213"/>
      <w:r>
        <w:rPr>
          <w:rFonts w:hint="eastAsia" w:ascii="宋体" w:hAnsi="宋体" w:eastAsia="宋体" w:cs="宋体"/>
          <w:b w:val="0"/>
          <w:bCs/>
          <w:color w:val="auto"/>
          <w:sz w:val="32"/>
          <w:szCs w:val="32"/>
          <w:highlight w:val="none"/>
        </w:rPr>
        <w:t xml:space="preserve">技术文件</w:t>
      </w:r>
      <w:bookmarkEnd w:id="214"/>
      <w:r>
        <w:rPr>
          <w:rFonts w:ascii="宋体" w:hAnsi="宋体" w:cs="宋体"/>
        </w:rPr>
      </w:r>
      <w:bookmarkEnd w:id="215"/>
      <w:r>
        <w:rPr>
          <w:rFonts w:ascii="宋体" w:hAnsi="宋体" w:cs="宋体"/>
        </w:rPr>
      </w:r>
      <w:r/>
    </w:p>
    <w:p>
      <w:pPr>
        <w:pStyle w:val="1043"/>
        <w:numPr>
          <w:ilvl w:val="1"/>
          <w:numId w:val="10"/>
        </w:numPr>
        <w:ind w:left="556" w:hanging="556"/>
        <w:spacing w:before="312" w:after="312"/>
        <w:rPr>
          <w:rFonts w:hint="default" w:ascii="宋体" w:hAnsi="宋体" w:cs="宋体"/>
          <w:color w:val="auto"/>
          <w:highlight w:val="none"/>
        </w:rPr>
      </w:pPr>
      <w:r>
        <w:rPr>
          <w:rFonts w:ascii="宋体" w:hAnsi="宋体" w:cs="宋体"/>
        </w:rPr>
      </w:r>
      <w:bookmarkStart w:id="217" w:name="_Toc418769747"/>
      <w:r>
        <w:rPr>
          <w:rFonts w:ascii="宋体" w:hAnsi="宋体" w:cs="宋体"/>
        </w:rPr>
      </w:r>
      <w:bookmarkStart w:id="218" w:name="_Toc172391039"/>
      <w:r>
        <w:rPr>
          <w:rFonts w:ascii="宋体" w:hAnsi="宋体" w:cs="宋体"/>
        </w:rPr>
      </w:r>
      <w:bookmarkStart w:id="219" w:name="_Toc339004694"/>
      <w:r>
        <w:rPr>
          <w:rFonts w:ascii="宋体" w:hAnsi="宋体" w:cs="宋体"/>
        </w:rPr>
      </w:r>
      <w:bookmarkStart w:id="220" w:name="_Toc172388678"/>
      <w:r>
        <w:rPr>
          <w:rFonts w:ascii="宋体" w:hAnsi="宋体" w:cs="宋体"/>
        </w:rPr>
      </w:r>
      <w:bookmarkStart w:id="221" w:name="_Toc172388459"/>
      <w:r>
        <w:rPr>
          <w:rFonts w:ascii="宋体" w:hAnsi="宋体" w:cs="宋体"/>
        </w:rPr>
      </w:r>
      <w:bookmarkStart w:id="222" w:name="_Toc107310836"/>
      <w:r>
        <w:rPr>
          <w:rFonts w:ascii="宋体" w:hAnsi="宋体" w:cs="宋体"/>
        </w:rPr>
      </w:r>
      <w:bookmarkStart w:id="223" w:name="_Toc172388656"/>
      <w:r>
        <w:rPr>
          <w:rFonts w:ascii="宋体" w:hAnsi="宋体" w:cs="宋体"/>
        </w:rPr>
      </w:r>
      <w:bookmarkStart w:id="224" w:name="_Toc191462668"/>
      <w:r>
        <w:rPr>
          <w:rFonts w:ascii="宋体" w:hAnsi="宋体" w:cs="宋体"/>
        </w:rPr>
      </w:r>
      <w:bookmarkStart w:id="225" w:name="_Toc193103920"/>
      <w:r>
        <w:rPr>
          <w:rFonts w:ascii="宋体" w:hAnsi="宋体" w:cs="宋体"/>
        </w:rPr>
      </w:r>
      <w:bookmarkStart w:id="226" w:name="_Toc168807184"/>
      <w:r>
        <w:rPr>
          <w:rFonts w:ascii="宋体" w:hAnsi="宋体" w:cs="宋体"/>
        </w:rPr>
      </w:r>
      <w:bookmarkStart w:id="227" w:name="_Toc191462611"/>
      <w:r>
        <w:rPr>
          <w:rFonts w:ascii="宋体" w:hAnsi="宋体" w:cs="宋体"/>
        </w:rPr>
      </w:r>
      <w:bookmarkStart w:id="228" w:name="_Toc5242"/>
      <w:r>
        <w:rPr>
          <w:rFonts w:ascii="宋体" w:hAnsi="宋体" w:cs="宋体"/>
        </w:rPr>
      </w:r>
      <w:bookmarkStart w:id="229" w:name="_Toc168807119"/>
      <w:r>
        <w:rPr>
          <w:rFonts w:ascii="宋体" w:hAnsi="宋体" w:cs="宋体"/>
        </w:rPr>
      </w:r>
      <w:bookmarkStart w:id="230" w:name="_Toc26647"/>
      <w:r>
        <w:rPr>
          <w:rFonts w:ascii="宋体" w:hAnsi="宋体" w:cs="宋体"/>
        </w:rPr>
      </w:r>
      <w:bookmarkStart w:id="231" w:name="_Toc106683679"/>
      <w:r>
        <w:rPr>
          <w:rFonts w:ascii="宋体" w:hAnsi="宋体" w:cs="宋体"/>
        </w:rPr>
      </w:r>
      <w:bookmarkStart w:id="232" w:name="_Toc106683236"/>
      <w:r>
        <w:rPr>
          <w:rFonts w:ascii="宋体" w:hAnsi="宋体" w:cs="宋体"/>
        </w:rPr>
      </w:r>
      <w:bookmarkStart w:id="233" w:name="_Toc107310900"/>
      <w:r>
        <w:rPr>
          <w:rFonts w:ascii="宋体" w:hAnsi="宋体" w:cs="宋体"/>
        </w:rPr>
      </w:r>
      <w:bookmarkStart w:id="234" w:name="_Toc63672413"/>
      <w:r>
        <w:rPr>
          <w:rFonts w:ascii="宋体" w:hAnsi="宋体" w:cs="宋体"/>
        </w:rPr>
      </w:r>
      <w:bookmarkStart w:id="235" w:name="_Toc168807252"/>
      <w:r>
        <w:rPr>
          <w:rFonts w:hint="default" w:ascii="宋体" w:hAnsi="宋体" w:eastAsia="宋体" w:cs="宋体"/>
          <w:color w:val="auto"/>
          <w:highlight w:val="none"/>
        </w:rPr>
        <w:t xml:space="preserve">范围</w:t>
      </w:r>
      <w:bookmarkEnd w:id="217"/>
      <w:r>
        <w:rPr>
          <w:rFonts w:ascii="宋体" w:hAnsi="宋体" w:cs="宋体"/>
        </w:rPr>
      </w:r>
      <w:bookmarkEnd w:id="218"/>
      <w:r>
        <w:rPr>
          <w:rFonts w:ascii="宋体" w:hAnsi="宋体" w:cs="宋体"/>
        </w:rPr>
      </w:r>
      <w:bookmarkEnd w:id="219"/>
      <w:r>
        <w:rPr>
          <w:rFonts w:ascii="宋体" w:hAnsi="宋体" w:cs="宋体"/>
        </w:rPr>
      </w:r>
      <w:bookmarkEnd w:id="220"/>
      <w:r>
        <w:rPr>
          <w:rFonts w:ascii="宋体" w:hAnsi="宋体" w:cs="宋体"/>
        </w:rPr>
      </w:r>
      <w:bookmarkEnd w:id="221"/>
      <w:r>
        <w:rPr>
          <w:rFonts w:ascii="宋体" w:hAnsi="宋体" w:cs="宋体"/>
        </w:rPr>
      </w:r>
      <w:bookmarkEnd w:id="222"/>
      <w:r>
        <w:rPr>
          <w:rFonts w:ascii="宋体" w:hAnsi="宋体" w:cs="宋体"/>
        </w:rPr>
      </w:r>
      <w:bookmarkEnd w:id="223"/>
      <w:r>
        <w:rPr>
          <w:rFonts w:ascii="宋体" w:hAnsi="宋体" w:cs="宋体"/>
        </w:rPr>
      </w:r>
      <w:bookmarkEnd w:id="224"/>
      <w:r>
        <w:rPr>
          <w:rFonts w:ascii="宋体" w:hAnsi="宋体" w:cs="宋体"/>
        </w:rPr>
      </w:r>
      <w:bookmarkEnd w:id="225"/>
      <w:r>
        <w:rPr>
          <w:rFonts w:ascii="宋体" w:hAnsi="宋体" w:cs="宋体"/>
        </w:rPr>
      </w:r>
      <w:bookmarkEnd w:id="226"/>
      <w:r>
        <w:rPr>
          <w:rFonts w:ascii="宋体" w:hAnsi="宋体" w:cs="宋体"/>
        </w:rPr>
      </w:r>
      <w:bookmarkEnd w:id="227"/>
      <w:r>
        <w:rPr>
          <w:rFonts w:ascii="宋体" w:hAnsi="宋体" w:cs="宋体"/>
        </w:rPr>
      </w:r>
      <w:bookmarkEnd w:id="228"/>
      <w:r>
        <w:rPr>
          <w:rFonts w:ascii="宋体" w:hAnsi="宋体" w:cs="宋体"/>
        </w:rPr>
      </w:r>
      <w:bookmarkEnd w:id="229"/>
      <w:r>
        <w:rPr>
          <w:rFonts w:ascii="宋体" w:hAnsi="宋体" w:cs="宋体"/>
        </w:rPr>
      </w:r>
      <w:bookmarkEnd w:id="230"/>
      <w:r>
        <w:rPr>
          <w:rFonts w:ascii="宋体" w:hAnsi="宋体" w:cs="宋体"/>
        </w:rPr>
      </w:r>
      <w:bookmarkEnd w:id="231"/>
      <w:r>
        <w:rPr>
          <w:rFonts w:ascii="宋体" w:hAnsi="宋体" w:cs="宋体"/>
        </w:rPr>
      </w:r>
      <w:bookmarkEnd w:id="232"/>
      <w:r>
        <w:rPr>
          <w:rFonts w:ascii="宋体" w:hAnsi="宋体" w:cs="宋体"/>
        </w:rPr>
      </w:r>
      <w:bookmarkEnd w:id="233"/>
      <w:r>
        <w:rPr>
          <w:rFonts w:ascii="宋体" w:hAnsi="宋体" w:cs="宋体"/>
        </w:rPr>
      </w:r>
      <w:bookmarkEnd w:id="234"/>
      <w:r>
        <w:rPr>
          <w:rFonts w:ascii="宋体" w:hAnsi="宋体" w:cs="宋体"/>
        </w:rPr>
      </w:r>
      <w:bookmarkEnd w:id="235"/>
      <w:r>
        <w:rPr>
          <w:rFonts w:ascii="宋体" w:hAnsi="宋体" w:cs="宋体"/>
        </w:rPr>
      </w:r>
      <w:r/>
    </w:p>
    <w:p>
      <w:pPr>
        <w:ind w:firstLine="420"/>
        <w:rPr>
          <w:rFonts w:hint="default" w:ascii="宋体" w:hAnsi="宋体" w:cs="宋体"/>
          <w:color w:val="auto"/>
          <w:szCs w:val="20"/>
          <w:highlight w:val="none"/>
        </w:rPr>
      </w:pPr>
      <w:r>
        <w:rPr>
          <w:rFonts w:ascii="宋体" w:hAnsi="宋体" w:cs="宋体"/>
        </w:rPr>
      </w:r>
      <w:bookmarkStart w:id="236" w:name="_Toc168807253"/>
      <w:r>
        <w:rPr>
          <w:rFonts w:ascii="宋体" w:hAnsi="宋体" w:cs="宋体"/>
        </w:rPr>
      </w:r>
      <w:bookmarkStart w:id="237" w:name="_Toc168807185"/>
      <w:r>
        <w:rPr>
          <w:rFonts w:ascii="宋体" w:hAnsi="宋体" w:cs="宋体"/>
        </w:rPr>
      </w:r>
      <w:bookmarkStart w:id="238" w:name="_Toc172391040"/>
      <w:r>
        <w:rPr>
          <w:rFonts w:ascii="宋体" w:hAnsi="宋体" w:cs="宋体"/>
        </w:rPr>
      </w:r>
      <w:bookmarkStart w:id="239" w:name="_Toc172388460"/>
      <w:r>
        <w:rPr>
          <w:rFonts w:ascii="宋体" w:hAnsi="宋体" w:cs="宋体"/>
        </w:rPr>
      </w:r>
      <w:bookmarkStart w:id="240" w:name="_Toc107310837"/>
      <w:r>
        <w:rPr>
          <w:rFonts w:ascii="宋体" w:hAnsi="宋体" w:cs="宋体"/>
        </w:rPr>
      </w:r>
      <w:bookmarkStart w:id="241" w:name="_Toc172388679"/>
      <w:r>
        <w:rPr>
          <w:rFonts w:ascii="宋体" w:hAnsi="宋体" w:cs="宋体"/>
        </w:rPr>
      </w:r>
      <w:bookmarkStart w:id="242" w:name="_Toc63672414"/>
      <w:r>
        <w:rPr>
          <w:rFonts w:ascii="宋体" w:hAnsi="宋体" w:cs="宋体"/>
        </w:rPr>
      </w:r>
      <w:bookmarkStart w:id="243" w:name="_Toc172388657"/>
      <w:r>
        <w:rPr>
          <w:rFonts w:ascii="宋体" w:hAnsi="宋体" w:cs="宋体"/>
        </w:rPr>
      </w:r>
      <w:bookmarkStart w:id="244" w:name="_Toc107310901"/>
      <w:r>
        <w:rPr>
          <w:rFonts w:ascii="宋体" w:hAnsi="宋体" w:cs="宋体"/>
        </w:rPr>
      </w:r>
      <w:bookmarkStart w:id="245" w:name="_Toc106683680"/>
      <w:r>
        <w:rPr>
          <w:rFonts w:ascii="宋体" w:hAnsi="宋体" w:cs="宋体"/>
        </w:rPr>
      </w:r>
      <w:bookmarkStart w:id="246" w:name="_Toc168807120"/>
      <w:r>
        <w:rPr>
          <w:rFonts w:ascii="宋体" w:hAnsi="宋体" w:cs="宋体"/>
        </w:rPr>
      </w:r>
      <w:bookmarkStart w:id="247" w:name="_Toc106683237"/>
      <w:r>
        <w:rPr>
          <w:rFonts w:hint="default" w:ascii="宋体" w:hAnsi="宋体" w:eastAsia="宋体" w:cs="宋体"/>
          <w:color w:val="auto"/>
          <w:szCs w:val="20"/>
          <w:highlight w:val="none"/>
        </w:rPr>
        <w:t xml:space="preserve">本文件规定了救灾专用 12m</w:t>
      </w:r>
      <w:r>
        <w:rPr>
          <w:rFonts w:hint="default" w:ascii="宋体" w:hAnsi="宋体" w:eastAsia="仿宋" w:cs="宋体"/>
          <w:color w:val="auto"/>
          <w:szCs w:val="20"/>
          <w:highlight w:val="none"/>
          <w:vertAlign w:val="superscript"/>
        </w:rPr>
        <w:t xml:space="preserve">2</w:t>
      </w:r>
      <w:r>
        <w:rPr>
          <w:rFonts w:hint="default" w:ascii="宋体" w:hAnsi="宋体" w:eastAsia="宋体" w:cs="宋体"/>
          <w:color w:val="auto"/>
          <w:szCs w:val="20"/>
          <w:highlight w:val="none"/>
        </w:rPr>
        <w:t xml:space="preserve">单帐篷的要求、试验方法、验收规则及标志、包装、运输与贮存。</w:t>
      </w:r>
      <w:r>
        <w:rPr>
          <w:rFonts w:ascii="宋体" w:hAnsi="宋体" w:cs="宋体"/>
        </w:rPr>
      </w:r>
      <w:r/>
    </w:p>
    <w:p>
      <w:pPr>
        <w:ind w:firstLine="420"/>
        <w:rPr>
          <w:rFonts w:hint="default" w:ascii="宋体" w:hAnsi="宋体" w:cs="宋体"/>
          <w:color w:val="auto"/>
          <w:szCs w:val="20"/>
          <w:highlight w:val="none"/>
        </w:rPr>
      </w:pPr>
      <w:r>
        <w:rPr>
          <w:rFonts w:hint="default" w:ascii="宋体" w:hAnsi="宋体" w:eastAsia="宋体" w:cs="宋体"/>
          <w:color w:val="auto"/>
          <w:szCs w:val="20"/>
          <w:highlight w:val="none"/>
        </w:rPr>
        <w:t xml:space="preserve">本文件适用于以涤纶PU涂层布为篷体主要材料、以铝合金为框架主要材料组合而成的救灾专用 12m</w:t>
      </w:r>
      <w:r>
        <w:rPr>
          <w:rFonts w:hint="default" w:ascii="宋体" w:hAnsi="宋体" w:eastAsia="仿宋" w:cs="宋体"/>
          <w:color w:val="auto"/>
          <w:szCs w:val="20"/>
          <w:highlight w:val="none"/>
          <w:vertAlign w:val="superscript"/>
        </w:rPr>
        <w:t xml:space="preserve">2</w:t>
      </w:r>
      <w:r>
        <w:rPr>
          <w:rFonts w:hint="default" w:ascii="宋体" w:hAnsi="宋体" w:eastAsia="宋体" w:cs="宋体"/>
          <w:color w:val="auto"/>
          <w:szCs w:val="20"/>
          <w:highlight w:val="none"/>
        </w:rPr>
        <w:t xml:space="preserve">单帐篷的订购、生产与验收。</w:t>
      </w:r>
      <w:r>
        <w:rPr>
          <w:rFonts w:ascii="宋体" w:hAnsi="宋体" w:cs="宋体"/>
        </w:rPr>
      </w:r>
      <w:r/>
    </w:p>
    <w:p>
      <w:pPr>
        <w:pStyle w:val="1043"/>
        <w:numPr>
          <w:ilvl w:val="1"/>
          <w:numId w:val="10"/>
        </w:numPr>
        <w:ind w:left="556" w:hanging="556"/>
        <w:spacing w:before="312" w:after="312"/>
        <w:rPr>
          <w:rFonts w:hint="default" w:ascii="宋体" w:hAnsi="宋体" w:cs="宋体"/>
          <w:color w:val="auto"/>
          <w:highlight w:val="none"/>
        </w:rPr>
      </w:pPr>
      <w:r>
        <w:rPr>
          <w:rFonts w:ascii="宋体" w:hAnsi="宋体" w:cs="宋体"/>
        </w:rPr>
      </w:r>
      <w:bookmarkStart w:id="248" w:name="_Toc193103921"/>
      <w:r>
        <w:rPr>
          <w:rFonts w:ascii="宋体" w:hAnsi="宋体" w:cs="宋体"/>
        </w:rPr>
      </w:r>
      <w:bookmarkStart w:id="249" w:name="_Toc191462669"/>
      <w:r>
        <w:rPr>
          <w:rFonts w:ascii="宋体" w:hAnsi="宋体" w:cs="宋体"/>
        </w:rPr>
      </w:r>
      <w:bookmarkStart w:id="250" w:name="_Toc418769748"/>
      <w:r>
        <w:rPr>
          <w:rFonts w:ascii="宋体" w:hAnsi="宋体" w:cs="宋体"/>
        </w:rPr>
      </w:r>
      <w:bookmarkStart w:id="251" w:name="_Toc191462612"/>
      <w:r>
        <w:rPr>
          <w:rFonts w:ascii="宋体" w:hAnsi="宋体" w:cs="宋体"/>
        </w:rPr>
      </w:r>
      <w:bookmarkStart w:id="252" w:name="_Toc339004695"/>
      <w:r>
        <w:rPr>
          <w:rFonts w:ascii="宋体" w:hAnsi="宋体" w:cs="宋体"/>
        </w:rPr>
      </w:r>
      <w:bookmarkStart w:id="253" w:name="_Toc10664"/>
      <w:r>
        <w:rPr>
          <w:rFonts w:ascii="宋体" w:hAnsi="宋体" w:cs="宋体"/>
        </w:rPr>
      </w:r>
      <w:bookmarkStart w:id="254" w:name="_Toc23020"/>
      <w:r>
        <w:rPr>
          <w:rFonts w:hint="default" w:ascii="宋体" w:hAnsi="宋体" w:eastAsia="宋体" w:cs="宋体"/>
          <w:color w:val="auto"/>
          <w:highlight w:val="none"/>
        </w:rPr>
        <w:t xml:space="preserve">引用</w:t>
      </w:r>
      <w:bookmarkEnd w:id="236"/>
      <w:r>
        <w:rPr>
          <w:rFonts w:ascii="宋体" w:hAnsi="宋体" w:cs="宋体"/>
        </w:rPr>
      </w:r>
      <w:bookmarkEnd w:id="237"/>
      <w:r>
        <w:rPr>
          <w:rFonts w:ascii="宋体" w:hAnsi="宋体" w:cs="宋体"/>
        </w:rPr>
      </w:r>
      <w:bookmarkEnd w:id="238"/>
      <w:r>
        <w:rPr>
          <w:rFonts w:ascii="宋体" w:hAnsi="宋体" w:cs="宋体"/>
        </w:rPr>
      </w:r>
      <w:bookmarkEnd w:id="239"/>
      <w:r>
        <w:rPr>
          <w:rFonts w:ascii="宋体" w:hAnsi="宋体" w:cs="宋体"/>
        </w:rPr>
      </w:r>
      <w:bookmarkEnd w:id="240"/>
      <w:r>
        <w:rPr>
          <w:rFonts w:ascii="宋体" w:hAnsi="宋体" w:cs="宋体"/>
        </w:rPr>
      </w:r>
      <w:bookmarkEnd w:id="241"/>
      <w:r>
        <w:rPr>
          <w:rFonts w:ascii="宋体" w:hAnsi="宋体" w:cs="宋体"/>
        </w:rPr>
      </w:r>
      <w:bookmarkEnd w:id="242"/>
      <w:r>
        <w:rPr>
          <w:rFonts w:ascii="宋体" w:hAnsi="宋体" w:cs="宋体"/>
        </w:rPr>
      </w:r>
      <w:bookmarkEnd w:id="243"/>
      <w:r>
        <w:rPr>
          <w:rFonts w:ascii="宋体" w:hAnsi="宋体" w:cs="宋体"/>
        </w:rPr>
      </w:r>
      <w:bookmarkEnd w:id="244"/>
      <w:r>
        <w:rPr>
          <w:rFonts w:ascii="宋体" w:hAnsi="宋体" w:cs="宋体"/>
        </w:rPr>
      </w:r>
      <w:bookmarkEnd w:id="245"/>
      <w:r>
        <w:rPr>
          <w:rFonts w:ascii="宋体" w:hAnsi="宋体" w:cs="宋体"/>
        </w:rPr>
      </w:r>
      <w:bookmarkEnd w:id="246"/>
      <w:r>
        <w:rPr>
          <w:rFonts w:ascii="宋体" w:hAnsi="宋体" w:cs="宋体"/>
        </w:rPr>
      </w:r>
      <w:bookmarkEnd w:id="247"/>
      <w:r>
        <w:rPr>
          <w:rFonts w:ascii="宋体" w:hAnsi="宋体" w:cs="宋体"/>
        </w:rPr>
      </w:r>
      <w:bookmarkEnd w:id="248"/>
      <w:r>
        <w:rPr>
          <w:rFonts w:ascii="宋体" w:hAnsi="宋体" w:cs="宋体"/>
        </w:rPr>
      </w:r>
      <w:bookmarkEnd w:id="249"/>
      <w:r>
        <w:rPr>
          <w:rFonts w:ascii="宋体" w:hAnsi="宋体" w:cs="宋体"/>
        </w:rPr>
      </w:r>
      <w:bookmarkEnd w:id="250"/>
      <w:r>
        <w:rPr>
          <w:rFonts w:ascii="宋体" w:hAnsi="宋体" w:cs="宋体"/>
        </w:rPr>
      </w:r>
      <w:bookmarkEnd w:id="251"/>
      <w:r>
        <w:rPr>
          <w:rFonts w:ascii="宋体" w:hAnsi="宋体" w:cs="宋体"/>
        </w:rPr>
      </w:r>
      <w:bookmarkEnd w:id="252"/>
      <w:r>
        <w:rPr>
          <w:rFonts w:hint="default" w:ascii="宋体" w:hAnsi="宋体" w:eastAsia="宋体" w:cs="宋体"/>
          <w:color w:val="auto"/>
          <w:highlight w:val="none"/>
        </w:rPr>
        <w:t xml:space="preserve">文件</w:t>
      </w:r>
      <w:bookmarkEnd w:id="253"/>
      <w:r>
        <w:rPr>
          <w:rFonts w:ascii="宋体" w:hAnsi="宋体" w:cs="宋体"/>
        </w:rPr>
      </w:r>
      <w:bookmarkEnd w:id="254"/>
      <w:r>
        <w:rPr>
          <w:rFonts w:ascii="宋体" w:hAnsi="宋体" w:cs="宋体"/>
        </w:rPr>
      </w:r>
      <w:r/>
    </w:p>
    <w:p>
      <w:pPr>
        <w:pStyle w:val="1044"/>
        <w:rPr>
          <w:rFonts w:hint="default" w:ascii="宋体" w:hAnsi="宋体" w:cs="宋体"/>
          <w:color w:val="auto"/>
          <w:highlight w:val="none"/>
        </w:rPr>
      </w:pPr>
      <w:r>
        <w:rPr>
          <w:rFonts w:ascii="宋体" w:hAnsi="宋体" w:cs="宋体"/>
        </w:rPr>
      </w:r>
      <w:bookmarkStart w:id="255" w:name="_Toc63652224"/>
      <w:r>
        <w:rPr>
          <w:rFonts w:ascii="宋体" w:hAnsi="宋体" w:cs="宋体"/>
        </w:rPr>
      </w:r>
      <w:bookmarkStart w:id="256" w:name="_Toc61682161"/>
      <w:r>
        <w:rPr>
          <w:rFonts w:ascii="宋体" w:hAnsi="宋体" w:cs="宋体"/>
        </w:rPr>
      </w:r>
      <w:bookmarkStart w:id="257" w:name="_Toc172388461"/>
      <w:r>
        <w:rPr>
          <w:rFonts w:ascii="宋体" w:hAnsi="宋体" w:cs="宋体"/>
        </w:rPr>
      </w:r>
      <w:bookmarkStart w:id="258" w:name="_Toc63652482"/>
      <w:r>
        <w:rPr>
          <w:rFonts w:ascii="宋体" w:hAnsi="宋体" w:cs="宋体"/>
        </w:rPr>
      </w:r>
      <w:bookmarkStart w:id="259" w:name="_Toc63651440"/>
      <w:r>
        <w:rPr>
          <w:rFonts w:ascii="宋体" w:hAnsi="宋体" w:cs="宋体"/>
        </w:rPr>
      </w:r>
      <w:bookmarkStart w:id="260" w:name="_Toc106683681"/>
      <w:r>
        <w:rPr>
          <w:rFonts w:ascii="宋体" w:hAnsi="宋体" w:cs="宋体"/>
        </w:rPr>
      </w:r>
      <w:bookmarkStart w:id="261" w:name="_Toc107310838"/>
      <w:r>
        <w:rPr>
          <w:rFonts w:ascii="宋体" w:hAnsi="宋体" w:cs="宋体"/>
        </w:rPr>
      </w:r>
      <w:bookmarkStart w:id="262" w:name="_Toc63651856"/>
      <w:r>
        <w:rPr>
          <w:rFonts w:ascii="宋体" w:hAnsi="宋体" w:cs="宋体"/>
        </w:rPr>
      </w:r>
      <w:bookmarkStart w:id="263" w:name="_Toc63652126"/>
      <w:r>
        <w:rPr>
          <w:rFonts w:ascii="宋体" w:hAnsi="宋体" w:cs="宋体"/>
        </w:rPr>
      </w:r>
      <w:bookmarkStart w:id="264" w:name="_Toc63652375"/>
      <w:r>
        <w:rPr>
          <w:rFonts w:ascii="宋体" w:hAnsi="宋体" w:cs="宋体"/>
        </w:rPr>
      </w:r>
      <w:bookmarkStart w:id="265" w:name="_Toc63652027"/>
      <w:r>
        <w:rPr>
          <w:rFonts w:ascii="宋体" w:hAnsi="宋体" w:cs="宋体"/>
        </w:rPr>
      </w:r>
      <w:bookmarkStart w:id="266" w:name="_Toc63583289"/>
      <w:r>
        <w:rPr>
          <w:rFonts w:ascii="宋体" w:hAnsi="宋体" w:cs="宋体"/>
        </w:rPr>
      </w:r>
      <w:bookmarkStart w:id="267" w:name="_Toc63672415"/>
      <w:r>
        <w:rPr>
          <w:rFonts w:ascii="宋体" w:hAnsi="宋体" w:cs="宋体"/>
        </w:rPr>
      </w:r>
      <w:bookmarkStart w:id="268" w:name="_Toc63583409"/>
      <w:r>
        <w:rPr>
          <w:rFonts w:ascii="宋体" w:hAnsi="宋体" w:cs="宋体"/>
        </w:rPr>
      </w:r>
      <w:bookmarkStart w:id="269" w:name="_Toc168807254"/>
      <w:r>
        <w:rPr>
          <w:rFonts w:ascii="宋体" w:hAnsi="宋体" w:cs="宋体"/>
        </w:rPr>
      </w:r>
      <w:bookmarkStart w:id="270" w:name="_Toc172391041"/>
      <w:r>
        <w:rPr>
          <w:rFonts w:ascii="宋体" w:hAnsi="宋体" w:cs="宋体"/>
        </w:rPr>
      </w:r>
      <w:bookmarkStart w:id="271" w:name="_Toc168807121"/>
      <w:r>
        <w:rPr>
          <w:rFonts w:ascii="宋体" w:hAnsi="宋体" w:cs="宋体"/>
        </w:rPr>
      </w:r>
      <w:bookmarkStart w:id="272" w:name="_Toc63652622"/>
      <w:r>
        <w:rPr>
          <w:rFonts w:ascii="宋体" w:hAnsi="宋体" w:cs="宋体"/>
        </w:rPr>
      </w:r>
      <w:bookmarkStart w:id="273" w:name="_Toc63484602"/>
      <w:r>
        <w:rPr>
          <w:rFonts w:ascii="宋体" w:hAnsi="宋体" w:cs="宋体"/>
        </w:rPr>
      </w:r>
      <w:bookmarkStart w:id="274" w:name="_Toc61682090"/>
      <w:r>
        <w:rPr>
          <w:rFonts w:ascii="宋体" w:hAnsi="宋体" w:cs="宋体"/>
        </w:rPr>
      </w:r>
      <w:bookmarkStart w:id="275" w:name="_Toc63650631"/>
      <w:r>
        <w:rPr>
          <w:rFonts w:ascii="宋体" w:hAnsi="宋体" w:cs="宋体"/>
        </w:rPr>
      </w:r>
      <w:bookmarkStart w:id="276" w:name="_Toc61669565"/>
      <w:r>
        <w:rPr>
          <w:rFonts w:ascii="宋体" w:hAnsi="宋体" w:cs="宋体"/>
        </w:rPr>
      </w:r>
      <w:bookmarkStart w:id="277" w:name="_Toc63583185"/>
      <w:r>
        <w:rPr>
          <w:rFonts w:ascii="宋体" w:hAnsi="宋体" w:cs="宋体"/>
        </w:rPr>
      </w:r>
      <w:bookmarkStart w:id="278" w:name="_Toc172388658"/>
      <w:r>
        <w:rPr>
          <w:rFonts w:ascii="宋体" w:hAnsi="宋体" w:cs="宋体"/>
        </w:rPr>
      </w:r>
      <w:bookmarkStart w:id="279" w:name="_Toc106683238"/>
      <w:r>
        <w:rPr>
          <w:rFonts w:ascii="宋体" w:hAnsi="宋体" w:cs="宋体"/>
        </w:rPr>
      </w:r>
      <w:bookmarkStart w:id="280" w:name="_Toc63650837"/>
      <w:r>
        <w:rPr>
          <w:rFonts w:ascii="宋体" w:hAnsi="宋体" w:cs="宋体"/>
        </w:rPr>
      </w:r>
      <w:bookmarkStart w:id="281" w:name="_Toc172388680"/>
      <w:r>
        <w:rPr>
          <w:rFonts w:ascii="宋体" w:hAnsi="宋体" w:cs="宋体"/>
        </w:rPr>
      </w:r>
      <w:bookmarkStart w:id="282" w:name="_Toc63651210"/>
      <w:r>
        <w:rPr>
          <w:rFonts w:ascii="宋体" w:hAnsi="宋体" w:cs="宋体"/>
        </w:rPr>
      </w:r>
      <w:bookmarkStart w:id="283" w:name="_Toc61672156"/>
      <w:r>
        <w:rPr>
          <w:rFonts w:ascii="宋体" w:hAnsi="宋体" w:cs="宋体"/>
        </w:rPr>
      </w:r>
      <w:bookmarkStart w:id="284" w:name="_Toc107310902"/>
      <w:r>
        <w:rPr>
          <w:rFonts w:ascii="宋体" w:hAnsi="宋体" w:cs="宋体"/>
        </w:rPr>
      </w:r>
      <w:bookmarkStart w:id="285" w:name="_Toc168807186"/>
      <w:r>
        <w:rPr>
          <w:rFonts w:ascii="宋体" w:hAnsi="宋体" w:cs="宋体"/>
        </w:rPr>
      </w:r>
      <w:bookmarkStart w:id="286" w:name="_Toc63651578"/>
      <w:r>
        <w:rPr>
          <w:rFonts w:ascii="宋体" w:hAnsi="宋体" w:cs="宋体"/>
        </w:rPr>
      </w:r>
      <w:bookmarkStart w:id="287" w:name="_Toc63583125"/>
      <w:r>
        <w:rPr>
          <w:rFonts w:hint="default" w:ascii="宋体" w:hAnsi="宋体" w:eastAsia="宋体" w:cs="宋体"/>
          <w:color w:val="auto"/>
          <w:highlight w:val="none"/>
        </w:rPr>
        <w:t xml:space="preserve">下列文件对于本文件的应用是必不可少的。凡是注明日期的引用文件，仅注明日期的版本适用于本文件。凡是不注日期的引用文件，其最新版本（包括所有的修改单）适用于本文件。</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 12982    国旗</w:t>
      </w:r>
      <w:r>
        <w:rPr>
          <w:rFonts w:ascii="宋体" w:hAnsi="宋体" w:cs="宋体"/>
        </w:rPr>
      </w:r>
      <w:r/>
    </w:p>
    <w:p>
      <w:pPr>
        <w:ind w:firstLine="420"/>
        <w:jc w:val="left"/>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228.1  金属材料 拉伸试验 第1部分：室温试验方法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250    纺织品 色牢度试验 评定变色用灰色样卡</w:t>
      </w:r>
      <w:r>
        <w:rPr>
          <w:rFonts w:ascii="宋体" w:hAnsi="宋体" w:cs="宋体"/>
        </w:rPr>
      </w:r>
      <w:r/>
    </w:p>
    <w:p>
      <w:pPr>
        <w:ind w:firstLine="420"/>
        <w:rPr>
          <w:rFonts w:hint="default" w:ascii="宋体" w:hAnsi="宋体" w:cs="宋体"/>
          <w:color w:val="auto"/>
          <w:szCs w:val="20"/>
          <w:highlight w:val="none"/>
        </w:rPr>
      </w:pPr>
      <w:r>
        <w:rPr>
          <w:rFonts w:hint="default" w:ascii="宋体" w:hAnsi="宋体" w:eastAsia="宋体" w:cs="宋体"/>
          <w:color w:val="auto"/>
          <w:szCs w:val="20"/>
          <w:highlight w:val="none"/>
        </w:rPr>
        <w:t xml:space="preserve">GB/T 1527   铜及铜合金拉制管</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1804   一般公差  未注公差的线性和角度尺寸的公差</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3917.3 纺织品  织物撕破性能 第3部分: 梯形试样撕破强力的测定</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3923.1纺织品  织物拉伸性能 第1部分: 断裂强力和断裂伸长率的测定  条样法</w:t>
      </w:r>
      <w:r>
        <w:rPr>
          <w:rFonts w:ascii="宋体" w:hAnsi="宋体" w:cs="宋体"/>
        </w:rPr>
      </w:r>
      <w:r/>
    </w:p>
    <w:p>
      <w:pPr>
        <w:ind w:firstLine="420"/>
        <w:rPr>
          <w:rFonts w:hint="default" w:ascii="宋体" w:hAnsi="宋体" w:cs="宋体"/>
          <w:color w:val="auto"/>
          <w:szCs w:val="20"/>
          <w:highlight w:val="none"/>
        </w:rPr>
      </w:pPr>
      <w:r>
        <w:rPr>
          <w:rFonts w:hint="default" w:ascii="宋体" w:hAnsi="宋体" w:eastAsia="宋体" w:cs="宋体"/>
          <w:color w:val="auto"/>
          <w:szCs w:val="20"/>
          <w:highlight w:val="none"/>
        </w:rPr>
        <w:t xml:space="preserve">GB/T 4668  机织物  密度的测定</w:t>
      </w:r>
      <w:r>
        <w:rPr>
          <w:rFonts w:ascii="宋体" w:hAnsi="宋体" w:cs="宋体"/>
        </w:rPr>
      </w:r>
      <w:r/>
    </w:p>
    <w:p>
      <w:pPr>
        <w:ind w:firstLine="420"/>
        <w:rPr>
          <w:rFonts w:hint="default" w:ascii="宋体" w:hAnsi="宋体" w:cs="宋体"/>
          <w:color w:val="auto"/>
          <w:szCs w:val="20"/>
          <w:highlight w:val="none"/>
        </w:rPr>
      </w:pPr>
      <w:r>
        <w:rPr>
          <w:rFonts w:hint="default" w:ascii="宋体" w:hAnsi="宋体" w:eastAsia="宋体" w:cs="宋体"/>
          <w:color w:val="auto"/>
          <w:szCs w:val="20"/>
          <w:highlight w:val="none"/>
        </w:rPr>
        <w:t xml:space="preserve">GB/T 4669  纺织品  机织物  单位长度质量和单位面积质量的测定</w:t>
      </w:r>
      <w:r>
        <w:rPr>
          <w:rFonts w:ascii="宋体" w:hAnsi="宋体" w:cs="宋体"/>
        </w:rPr>
      </w:r>
      <w:r/>
    </w:p>
    <w:p>
      <w:pPr>
        <w:ind w:firstLine="420"/>
        <w:rPr>
          <w:rFonts w:hint="default" w:ascii="宋体" w:hAnsi="宋体" w:cs="宋体"/>
          <w:color w:val="auto"/>
          <w:szCs w:val="20"/>
          <w:highlight w:val="none"/>
        </w:rPr>
      </w:pPr>
      <w:r>
        <w:rPr>
          <w:rFonts w:hint="default" w:ascii="宋体" w:hAnsi="宋体" w:eastAsia="宋体" w:cs="宋体"/>
          <w:color w:val="auto"/>
          <w:szCs w:val="20"/>
          <w:highlight w:val="none"/>
        </w:rPr>
        <w:t xml:space="preserve">GB/T 4744  纺织品  防水性能的测定和评价 静水压法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5455  纺织品  燃烧性能试验 垂直法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6836  缝纫线</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6892  一般工业用铝及铝合金挤压型材强度测定方法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8427  纺织品  色牢度试验  耐人造光色牢度：氙弧</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13793 直缝电焊钢管</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19976  纺织品  顶破强力的测定  钢球法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GB/T 20118  一般用途钢丝绳</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FZ/T 01010  涂层织物  涂层剥离强力的测定</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FZ/T 01063  涂层织物  抗粘连性的测定</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FZ/T 65002  特种工业用绳带  物理机械性能试验方法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JSB 40.1～40.2  军用锦丝起绒搭扣带扣合强度和撕揭强度的测定方法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QB/T 2173  尼龙拉链</w:t>
      </w:r>
      <w:r>
        <w:rPr>
          <w:rFonts w:ascii="宋体" w:hAnsi="宋体" w:cs="宋体"/>
        </w:rPr>
      </w:r>
      <w:r/>
    </w:p>
    <w:p>
      <w:pPr>
        <w:pStyle w:val="1044"/>
        <w:rPr>
          <w:rFonts w:hint="default" w:ascii="宋体" w:hAnsi="宋体" w:cs="宋体"/>
          <w:color w:val="auto"/>
          <w:sz w:val="21"/>
          <w:szCs w:val="24"/>
          <w:highlight w:val="none"/>
        </w:rPr>
      </w:pPr>
      <w:r>
        <w:rPr>
          <w:rFonts w:hint="default" w:ascii="宋体" w:hAnsi="宋体" w:cs="宋体"/>
          <w:color w:val="auto"/>
          <w:highlight w:val="none"/>
        </w:rPr>
        <w:t xml:space="preserve">QB/T 3826  </w:t>
      </w:r>
      <w:r>
        <w:rPr>
          <w:rFonts w:hint="default" w:ascii="宋体" w:hAnsi="宋体" w:eastAsia="宋体" w:cs="宋体"/>
          <w:color w:val="auto"/>
          <w:sz w:val="21"/>
          <w:szCs w:val="24"/>
          <w:highlight w:val="none"/>
          <w:lang w:val="en-US" w:eastAsia="zh-CN" w:bidi="ar-SA"/>
        </w:rPr>
        <w:t xml:space="preserve">轻工产品金属镀层和化学处理层的耐腐蚀试验方法  中性盐雾试验（NSS）法</w:t>
      </w:r>
      <w:r>
        <w:rPr>
          <w:rFonts w:ascii="宋体" w:hAnsi="宋体" w:cs="宋体"/>
        </w:rPr>
      </w:r>
      <w:r/>
    </w:p>
    <w:p>
      <w:pPr>
        <w:ind w:firstLine="420"/>
        <w:rPr>
          <w:rFonts w:hint="default" w:ascii="宋体" w:hAnsi="宋体" w:cs="宋体"/>
          <w:color w:val="auto"/>
          <w:szCs w:val="24"/>
          <w:highlight w:val="none"/>
        </w:rPr>
      </w:pPr>
      <w:r>
        <w:rPr>
          <w:rFonts w:hint="default" w:ascii="宋体" w:hAnsi="宋体" w:eastAsia="宋体" w:cs="宋体"/>
          <w:color w:val="auto"/>
          <w:szCs w:val="24"/>
          <w:highlight w:val="none"/>
        </w:rPr>
        <w:t xml:space="preserve">YB/T 5058  弹簧钢、工具钢冷轧钢带</w:t>
      </w:r>
      <w:r>
        <w:rPr>
          <w:rFonts w:ascii="宋体" w:hAnsi="宋体" w:cs="宋体"/>
        </w:rPr>
      </w:r>
      <w:r/>
    </w:p>
    <w:p>
      <w:pPr>
        <w:ind w:firstLine="420"/>
        <w:rPr>
          <w:rFonts w:hint="default" w:ascii="宋体" w:hAnsi="宋体" w:cs="宋体"/>
          <w:color w:val="auto"/>
          <w:highlight w:val="none"/>
        </w:rPr>
      </w:pPr>
      <w:r>
        <w:rPr>
          <w:rFonts w:hint="default" w:ascii="宋体" w:hAnsi="宋体" w:eastAsia="宋体" w:cs="宋体"/>
          <w:color w:val="auto"/>
          <w:szCs w:val="24"/>
          <w:highlight w:val="none"/>
        </w:rPr>
        <w:t xml:space="preserve">YB/T 5294  一般用途低碳钢丝</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Pr>
          <w:rFonts w:ascii="宋体" w:hAnsi="宋体" w:cs="宋体"/>
        </w:rPr>
      </w:r>
      <w:r/>
    </w:p>
    <w:p>
      <w:pPr>
        <w:pStyle w:val="1043"/>
        <w:numPr>
          <w:ilvl w:val="1"/>
          <w:numId w:val="10"/>
        </w:numPr>
        <w:ind w:left="556" w:hanging="556"/>
        <w:spacing w:before="312" w:after="312"/>
        <w:rPr>
          <w:rFonts w:hint="default" w:ascii="Times New Roman" w:hAnsi="Times New Roman" w:cs="Times New Roman"/>
          <w:color w:val="auto"/>
          <w:highlight w:val="none"/>
        </w:rPr>
      </w:pPr>
      <w:r/>
      <w:bookmarkStart w:id="288" w:name="_Toc339004696"/>
      <w:r/>
      <w:bookmarkStart w:id="289" w:name="_Toc418769749"/>
      <w:r/>
      <w:bookmarkStart w:id="290" w:name="_Toc191462670"/>
      <w:r/>
      <w:bookmarkStart w:id="291" w:name="_Toc52"/>
      <w:r/>
      <w:bookmarkStart w:id="292" w:name="_Toc4142"/>
      <w:r/>
      <w:bookmarkStart w:id="293" w:name="_Toc193103922"/>
      <w:r/>
      <w:bookmarkStart w:id="294" w:name="_Toc191462613"/>
      <w:r/>
      <w:bookmarkStart w:id="295" w:name="_Toc63672416"/>
      <w:r/>
      <w:bookmarkStart w:id="296" w:name="_Toc63484603"/>
      <w:r/>
      <w:bookmarkStart w:id="297" w:name="_Toc63652127"/>
      <w:r/>
      <w:bookmarkStart w:id="298" w:name="_Toc63652225"/>
      <w:r/>
      <w:bookmarkStart w:id="299" w:name="_Toc63583290"/>
      <w:r/>
      <w:bookmarkStart w:id="300" w:name="_Toc63650632"/>
      <w:r/>
      <w:bookmarkStart w:id="301" w:name="_Toc63650838"/>
      <w:r/>
      <w:bookmarkStart w:id="302" w:name="_Toc63651211"/>
      <w:r/>
      <w:bookmarkStart w:id="303" w:name="_Toc63651857"/>
      <w:r/>
      <w:bookmarkStart w:id="304" w:name="_Toc63651579"/>
      <w:r/>
      <w:bookmarkStart w:id="305" w:name="_Toc63652483"/>
      <w:r/>
      <w:bookmarkStart w:id="306" w:name="_Toc63652028"/>
      <w:r/>
      <w:bookmarkStart w:id="307" w:name="_Toc63583186"/>
      <w:r/>
      <w:bookmarkStart w:id="308" w:name="_Toc63652623"/>
      <w:r/>
      <w:bookmarkStart w:id="309" w:name="_Toc63651441"/>
      <w:r/>
      <w:bookmarkStart w:id="310" w:name="_Toc63652376"/>
      <w:r>
        <w:rPr>
          <w:rFonts w:hint="default" w:ascii="Times New Roman" w:hAnsi="Times New Roman" w:cs="Times New Roman"/>
          <w:color w:val="auto"/>
          <w:highlight w:val="none"/>
        </w:rPr>
        <w:t xml:space="preserve">要求</w:t>
      </w:r>
      <w:bookmarkEnd w:id="288"/>
      <w:r/>
      <w:bookmarkEnd w:id="289"/>
      <w:r/>
      <w:bookmarkEnd w:id="290"/>
      <w:r/>
      <w:bookmarkEnd w:id="291"/>
      <w:r/>
      <w:bookmarkEnd w:id="292"/>
      <w:r/>
      <w:bookmarkEnd w:id="293"/>
      <w:r/>
      <w:bookmarkEnd w:id="294"/>
      <w:r/>
      <w:r/>
    </w:p>
    <w:p>
      <w:pPr>
        <w:pStyle w:val="1045"/>
        <w:numPr>
          <w:ilvl w:val="2"/>
          <w:numId w:val="10"/>
        </w:numPr>
        <w:ind w:left="0" w:firstLine="0"/>
        <w:jc w:val="both"/>
        <w:rPr>
          <w:rFonts w:hint="default" w:ascii="Times New Roman" w:hAnsi="Times New Roman" w:cs="Times New Roman"/>
          <w:color w:val="auto"/>
          <w:highlight w:val="none"/>
        </w:rPr>
      </w:pPr>
      <w:r/>
      <w:bookmarkStart w:id="311" w:name="_Toc339004697"/>
      <w:r/>
      <w:bookmarkStart w:id="312" w:name="_Toc193103923"/>
      <w:r/>
      <w:bookmarkStart w:id="313" w:name="_Toc191462671"/>
      <w:r>
        <w:rPr>
          <w:rFonts w:hint="default" w:ascii="Times New Roman" w:hAnsi="Times New Roman" w:cs="Times New Roman"/>
          <w:color w:val="auto"/>
          <w:highlight w:val="none"/>
        </w:rPr>
        <w:t xml:space="preserve">样式</w:t>
      </w:r>
      <w:bookmarkEnd w:id="311"/>
      <w:r/>
      <w:bookmarkEnd w:id="312"/>
      <w:r/>
      <w:bookmarkEnd w:id="313"/>
      <w:r>
        <w:rPr>
          <w:rFonts w:hint="default" w:ascii="Times New Roman" w:hAnsi="Times New Roman" w:cs="Times New Roman"/>
          <w:color w:val="auto"/>
          <w:highlight w:val="none"/>
        </w:rPr>
        <w:t xml:space="preserve">及主要尺寸</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救灾专用 12m</w:t>
      </w:r>
      <w:r>
        <w:rPr>
          <w:rFonts w:hint="default" w:ascii="Times New Roman" w:hAnsi="Times New Roman" w:cs="Times New Roman"/>
          <w:color w:val="auto"/>
          <w:highlight w:val="none"/>
          <w:vertAlign w:val="superscript"/>
        </w:rPr>
        <w:t xml:space="preserve">2</w:t>
      </w:r>
      <w:r>
        <w:rPr>
          <w:rFonts w:hint="default" w:ascii="Times New Roman" w:hAnsi="Times New Roman" w:cs="Times New Roman"/>
          <w:color w:val="auto"/>
          <w:highlight w:val="none"/>
        </w:rPr>
        <w:t xml:space="preserve">单帐篷为长方形双坡面直墙建筑样式。出入门在一侧山墙上，顶部开三角窗一个；另一侧山墙开方形窗一个,顶部开三角窗一个；两侧墙各开方形窗户两个，配可拆卸纱围一个。整体帐篷通过拉绳用三角桩固定。其样式、结构及主要尺寸见图1及表1（单位为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625465" cy="3969385"/>
                <wp:effectExtent l="0" t="0" r="635" b="5715"/>
                <wp:docPr id="4" name="图片 1" descr="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descr="01-(2)"/>
                        <pic:cNvPicPr>
                          <a:picLocks noChangeAspect="1"/>
                        </pic:cNvPicPr>
                        <pic:nvPr/>
                      </pic:nvPicPr>
                      <pic:blipFill>
                        <a:blip r:embed="rId20"/>
                        <a:srcRect l="5811" t="17979" r="5382" b="6971"/>
                        <a:stretch/>
                      </pic:blipFill>
                      <pic:spPr bwMode="auto">
                        <a:xfrm>
                          <a:off x="0" y="0"/>
                          <a:ext cx="5625465" cy="396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42.9pt;height:312.6pt;mso-wrap-distance-left:0.0pt;mso-wrap-distance-top:0.0pt;mso-wrap-distance-right:0.0pt;mso-wrap-distance-bottom:0.0pt;" stroked="f">
                <v:path textboxrect="0,0,0,0"/>
                <v:imagedata r:id="rId20" o:title=""/>
              </v:shape>
            </w:pict>
          </mc:Fallback>
        </mc:AlternateContent>
      </w:r>
      <w:r/>
    </w:p>
    <w:p>
      <w:pPr>
        <w:pStyle w:val="1046"/>
        <w:numPr>
          <w:ilvl w:val="0"/>
          <w:numId w:val="11"/>
        </w:numPr>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样式、结构及主要尺寸</w:t>
      </w:r>
      <w:r/>
    </w:p>
    <w:p>
      <w:pPr>
        <w:pStyle w:val="1047"/>
        <w:numPr>
          <w:ilvl w:val="0"/>
          <w:numId w:val="0"/>
        </w:numPr>
        <w:jc w:val="right"/>
        <w:spacing w:before="156" w:after="156"/>
        <w:rPr>
          <w:rFonts w:hint="default" w:ascii="Times New Roman" w:hAnsi="Times New Roman" w:cs="Times New Roman"/>
          <w:color w:val="auto"/>
          <w:highlight w:val="none"/>
        </w:rPr>
      </w:pPr>
      <w:r/>
      <w:bookmarkStart w:id="314" w:name="_Toc193103924"/>
      <w:r/>
      <w:bookmarkStart w:id="315" w:name="_Toc119817201"/>
      <w:r/>
      <w:bookmarkStart w:id="316" w:name="_Toc191462672"/>
      <w:r>
        <w:rPr>
          <w:rFonts w:hint="default" w:ascii="Times New Roman" w:hAnsi="Times New Roman" w:cs="Times New Roman"/>
          <w:color w:val="auto"/>
          <w:highlight w:val="none"/>
        </w:rPr>
        <w:t xml:space="preserve">表1  成品各部位主要尺寸             </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sz w:val="18"/>
          <w:highlight w:val="none"/>
        </w:rPr>
        <w:t xml:space="preserve">单位：毫米</w:t>
      </w:r>
      <w:r/>
    </w:p>
    <w:tbl>
      <w:tblPr>
        <w:tblStyle w:val="848"/>
        <w:tblW w:w="0" w:type="auto"/>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89"/>
        <w:gridCol w:w="3192"/>
        <w:gridCol w:w="3188"/>
      </w:tblGrid>
      <w:tr>
        <w:trPr>
          <w:trHeight w:val="340"/>
        </w:trPr>
        <w:tc>
          <w:tcPr>
            <w:tcBorders>
              <w:top w:val="single" w:color="auto" w:sz="12" w:space="0"/>
              <w:left w:val="single" w:color="auto" w:sz="12" w:space="0"/>
              <w:bottom w:val="single" w:color="auto" w:sz="12"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部位（件）名称</w:t>
            </w:r>
            <w:r>
              <w:rPr>
                <w:rFonts w:ascii="宋体" w:hAnsi="宋体" w:cs="宋体"/>
              </w:rPr>
            </w:r>
            <w:r/>
          </w:p>
        </w:tc>
        <w:tc>
          <w:tcPr>
            <w:tcBorders>
              <w:top w:val="single" w:color="auto" w:sz="12" w:space="0"/>
              <w:bottom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成品尺寸</w:t>
            </w:r>
            <w:r>
              <w:rPr>
                <w:rFonts w:ascii="宋体" w:hAnsi="宋体" w:cs="宋体"/>
              </w:rPr>
            </w:r>
            <w:r/>
          </w:p>
        </w:tc>
        <w:tc>
          <w:tcPr>
            <w:tcBorders>
              <w:top w:val="single" w:color="auto" w:sz="12" w:space="0"/>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极限偏差</w:t>
            </w:r>
            <w:r>
              <w:rPr>
                <w:rFonts w:ascii="宋体" w:hAnsi="宋体" w:cs="宋体"/>
              </w:rPr>
            </w:r>
            <w:r/>
          </w:p>
        </w:tc>
      </w:tr>
      <w:tr>
        <w:trPr>
          <w:trHeight w:val="433"/>
        </w:trPr>
        <w:tc>
          <w:tcPr>
            <w:tcBorders>
              <w:top w:val="single" w:color="auto" w:sz="12"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篷体长度</w:t>
            </w:r>
            <w:r>
              <w:rPr>
                <w:rFonts w:ascii="宋体" w:hAnsi="宋体" w:cs="宋体"/>
              </w:rPr>
            </w:r>
            <w:r/>
          </w:p>
        </w:tc>
        <w:tc>
          <w:tcPr>
            <w:tcBorders>
              <w:top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3700</w:t>
            </w:r>
            <w:r>
              <w:rPr>
                <w:rFonts w:ascii="宋体" w:hAnsi="宋体" w:cs="宋体"/>
              </w:rPr>
            </w:r>
            <w:r/>
          </w:p>
        </w:tc>
        <w:tc>
          <w:tcPr>
            <w:tcBorders>
              <w:top w:val="single" w:color="auto" w:sz="12" w:space="0"/>
              <w:right w:val="single" w:color="auto" w:sz="12" w:space="0"/>
            </w:tcBorders>
            <w:tcW w:w="3188" w:type="dxa"/>
            <w:vAlign w:val="center"/>
            <w:textDirection w:val="lrTb"/>
            <w:noWrap w:val="false"/>
          </w:tcPr>
          <w:p>
            <w:pPr>
              <w:pStyle w:val="1044"/>
              <w:ind w:firstLine="0"/>
              <w:jc w:val="center"/>
              <w:spacing w:line="200" w:lineRule="exact"/>
              <w:rPr>
                <w:rFonts w:hint="default" w:ascii="宋体" w:hAnsi="宋体" w:cs="宋体"/>
                <w:color w:val="auto"/>
                <w:sz w:val="18"/>
                <w:szCs w:val="18"/>
                <w:highlight w:val="none"/>
              </w:rPr>
            </w:pPr>
            <w:r>
              <w:rPr>
                <w:rFonts w:hint="default" w:ascii="宋体" w:hAnsi="宋体" w:cs="宋体"/>
                <w:color w:val="auto"/>
                <w:sz w:val="18"/>
                <w:szCs w:val="18"/>
                <w:highlight w:val="none"/>
              </w:rPr>
              <w:t xml:space="preserve">+30</w:t>
            </w:r>
            <w:r>
              <w:rPr>
                <w:rFonts w:ascii="宋体" w:hAnsi="宋体" w:cs="宋体"/>
              </w:rPr>
            </w:r>
            <w:r/>
          </w:p>
          <w:p>
            <w:pPr>
              <w:pStyle w:val="1044"/>
              <w:ind w:firstLine="0"/>
              <w:jc w:val="center"/>
              <w:spacing w:line="200" w:lineRule="exact"/>
              <w:rPr>
                <w:rFonts w:hint="default" w:ascii="宋体" w:hAnsi="宋体" w:cs="宋体"/>
                <w:color w:val="auto"/>
                <w:sz w:val="18"/>
                <w:szCs w:val="18"/>
                <w:highlight w:val="none"/>
              </w:rPr>
            </w:pPr>
            <w:r>
              <w:rPr>
                <w:rFonts w:hint="default" w:ascii="宋体" w:hAnsi="宋体" w:cs="宋体"/>
                <w:color w:val="auto"/>
                <w:sz w:val="18"/>
                <w:szCs w:val="18"/>
                <w:highlight w:val="none"/>
              </w:rPr>
              <w:t xml:space="preserve">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篷体宽度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3200</w:t>
            </w:r>
            <w:r>
              <w:rPr>
                <w:rFonts w:ascii="宋体" w:hAnsi="宋体" w:cs="宋体"/>
              </w:rPr>
            </w:r>
            <w:r/>
          </w:p>
        </w:tc>
        <w:tc>
          <w:tcPr>
            <w:tcBorders>
              <w:right w:val="single" w:color="auto" w:sz="12" w:space="0"/>
            </w:tcBorders>
            <w:tcW w:w="3188" w:type="dxa"/>
            <w:vAlign w:val="center"/>
            <w:textDirection w:val="lrTb"/>
            <w:noWrap w:val="false"/>
          </w:tcPr>
          <w:p>
            <w:pPr>
              <w:pStyle w:val="1044"/>
              <w:ind w:firstLine="0"/>
              <w:jc w:val="center"/>
              <w:spacing w:line="200" w:lineRule="exact"/>
              <w:rPr>
                <w:rFonts w:hint="default" w:ascii="宋体" w:hAnsi="宋体" w:cs="宋体"/>
                <w:color w:val="auto"/>
                <w:sz w:val="18"/>
                <w:szCs w:val="18"/>
                <w:highlight w:val="none"/>
              </w:rPr>
            </w:pPr>
            <w:r>
              <w:rPr>
                <w:rFonts w:hint="default" w:ascii="宋体" w:hAnsi="宋体" w:cs="宋体"/>
                <w:color w:val="auto"/>
                <w:sz w:val="18"/>
                <w:szCs w:val="18"/>
                <w:highlight w:val="none"/>
              </w:rPr>
              <w:t xml:space="preserve">+30</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侧墙高度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1750</w:t>
            </w:r>
            <w:r>
              <w:rPr>
                <w:rFonts w:ascii="宋体" w:hAnsi="宋体" w:cs="宋体"/>
              </w:rPr>
            </w:r>
            <w:r/>
          </w:p>
        </w:tc>
        <w:tc>
          <w:tcPr>
            <w:tcBorders>
              <w:right w:val="single" w:color="auto" w:sz="12" w:space="0"/>
            </w:tcBorders>
            <w:tcW w:w="3188" w:type="dxa"/>
            <w:vAlign w:val="center"/>
            <w:textDirection w:val="lrTb"/>
            <w:noWrap w:val="false"/>
          </w:tcPr>
          <w:p>
            <w:pPr>
              <w:pStyle w:val="1044"/>
              <w:ind w:firstLine="0"/>
              <w:jc w:val="center"/>
              <w:spacing w:line="200" w:lineRule="exact"/>
              <w:rPr>
                <w:rFonts w:hint="default" w:ascii="宋体" w:hAnsi="宋体" w:cs="宋体"/>
                <w:color w:val="auto"/>
                <w:sz w:val="18"/>
                <w:szCs w:val="18"/>
                <w:highlight w:val="none"/>
              </w:rPr>
            </w:pPr>
            <w:r>
              <w:rPr>
                <w:rFonts w:hint="default" w:ascii="宋体" w:hAnsi="宋体" w:cs="宋体"/>
                <w:color w:val="auto"/>
                <w:sz w:val="18"/>
                <w:szCs w:val="18"/>
                <w:highlight w:val="none"/>
              </w:rPr>
              <w:t xml:space="preserve">+20</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脊顶高</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2670</w:t>
            </w:r>
            <w:r>
              <w:rPr>
                <w:rFonts w:ascii="宋体" w:hAnsi="宋体" w:cs="宋体"/>
              </w:rPr>
            </w:r>
            <w:r/>
          </w:p>
        </w:tc>
        <w:tc>
          <w:tcPr>
            <w:tcBorders>
              <w:right w:val="single" w:color="auto" w:sz="12" w:space="0"/>
            </w:tcBorders>
            <w:tcW w:w="3188" w:type="dxa"/>
            <w:vAlign w:val="center"/>
            <w:textDirection w:val="lrTb"/>
            <w:noWrap w:val="false"/>
          </w:tcPr>
          <w:p>
            <w:pPr>
              <w:pStyle w:val="1044"/>
              <w:ind w:firstLine="0"/>
              <w:jc w:val="center"/>
              <w:spacing w:line="200" w:lineRule="exact"/>
              <w:rPr>
                <w:rFonts w:hint="default" w:ascii="宋体" w:hAnsi="宋体" w:cs="宋体"/>
                <w:color w:val="auto"/>
                <w:sz w:val="18"/>
                <w:szCs w:val="18"/>
                <w:highlight w:val="none"/>
              </w:rPr>
            </w:pPr>
            <w:r>
              <w:rPr>
                <w:rFonts w:hint="default" w:ascii="宋体" w:hAnsi="宋体" w:cs="宋体"/>
                <w:color w:val="auto"/>
                <w:sz w:val="18"/>
                <w:szCs w:val="18"/>
                <w:highlight w:val="none"/>
              </w:rPr>
              <w:t xml:space="preserve">+20</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篷顶沿宽度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100</w:t>
            </w:r>
            <w:r>
              <w:rPr>
                <w:rFonts w:ascii="宋体" w:hAnsi="宋体" w:cs="宋体"/>
              </w:rPr>
            </w:r>
            <w:r/>
          </w:p>
        </w:tc>
        <w:tc>
          <w:tcPr>
            <w:tcBorders>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5</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门口高度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1800</w:t>
            </w:r>
            <w:r>
              <w:rPr>
                <w:rFonts w:ascii="宋体" w:hAnsi="宋体" w:cs="宋体"/>
              </w:rPr>
            </w:r>
            <w:r/>
          </w:p>
        </w:tc>
        <w:tc>
          <w:tcPr>
            <w:tcBorders>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门口宽度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800</w:t>
            </w:r>
            <w:r>
              <w:rPr>
                <w:rFonts w:ascii="宋体" w:hAnsi="宋体" w:cs="宋体"/>
              </w:rPr>
            </w:r>
            <w:r/>
          </w:p>
        </w:tc>
        <w:tc>
          <w:tcPr>
            <w:tcBorders>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10</w:t>
            </w:r>
            <w:r>
              <w:rPr>
                <w:rFonts w:ascii="宋体" w:hAnsi="宋体" w:cs="宋体"/>
              </w:rPr>
            </w:r>
            <w:r/>
          </w:p>
        </w:tc>
      </w:tr>
      <w:tr>
        <w:trPr>
          <w:trHeight w:val="433"/>
        </w:trPr>
        <w:tc>
          <w:tcPr>
            <w:tcBorders>
              <w:top w:val="single" w:color="auto" w:sz="6" w:space="0"/>
              <w:left w:val="single" w:color="auto" w:sz="12" w:space="0"/>
              <w:bottom w:val="single" w:color="auto" w:sz="6"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门帘高度</w:t>
            </w:r>
            <w:r>
              <w:rPr>
                <w:rFonts w:ascii="宋体" w:hAnsi="宋体" w:cs="宋体"/>
              </w:rPr>
            </w:r>
            <w:r/>
          </w:p>
        </w:tc>
        <w:tc>
          <w:tcPr>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1900</w:t>
            </w:r>
            <w:r>
              <w:rPr>
                <w:rFonts w:ascii="宋体" w:hAnsi="宋体" w:cs="宋体"/>
              </w:rPr>
            </w:r>
            <w:r/>
          </w:p>
        </w:tc>
        <w:tc>
          <w:tcPr>
            <w:tcBorders>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433"/>
        </w:trPr>
        <w:tc>
          <w:tcPr>
            <w:tcBorders>
              <w:top w:val="single" w:color="auto" w:sz="6" w:space="0"/>
              <w:left w:val="single" w:color="auto" w:sz="12" w:space="0"/>
              <w:bottom w:val="single" w:color="auto" w:sz="12" w:space="0"/>
            </w:tcBorders>
            <w:tcW w:w="3189"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门帘宽度</w:t>
            </w:r>
            <w:r>
              <w:rPr>
                <w:rFonts w:ascii="宋体" w:hAnsi="宋体" w:cs="宋体"/>
              </w:rPr>
            </w:r>
            <w:r/>
          </w:p>
        </w:tc>
        <w:tc>
          <w:tcPr>
            <w:tcBorders>
              <w:bottom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1040</w:t>
            </w:r>
            <w:r>
              <w:rPr>
                <w:rFonts w:ascii="宋体" w:hAnsi="宋体" w:cs="宋体"/>
              </w:rPr>
            </w:r>
            <w:r/>
          </w:p>
        </w:tc>
        <w:tc>
          <w:tcPr>
            <w:tcBorders>
              <w:bottom w:val="single" w:color="auto" w:sz="12" w:space="0"/>
              <w:right w:val="single" w:color="auto" w:sz="12" w:space="0"/>
            </w:tcBorders>
            <w:tcW w:w="3188"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bl>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eastAsia="宋体" w:cs="Times New Roman"/>
          <w:color w:val="auto"/>
          <w:sz w:val="18"/>
          <w:highlight w:val="none"/>
        </w:rPr>
        <w:br w:type="page" w:clear="all"/>
      </w:r>
      <w:r>
        <w:rPr>
          <w:rFonts w:hint="default" w:ascii="Times New Roman" w:hAnsi="Times New Roman" w:eastAsia="宋体" w:cs="Times New Roman"/>
          <w:color w:val="auto"/>
          <w:sz w:val="18"/>
          <w:highlight w:val="none"/>
        </w:rPr>
      </w:r>
      <w:r/>
    </w:p>
    <w:p>
      <w:pPr>
        <w:pStyle w:val="1047"/>
        <w:numPr>
          <w:ilvl w:val="0"/>
          <w:numId w:val="0"/>
        </w:numPr>
        <w:jc w:val="right"/>
        <w:spacing w:before="156" w:after="156"/>
        <w:rPr>
          <w:rFonts w:hint="default" w:ascii="Times New Roman" w:hAnsi="Times New Roman" w:eastAsia="宋体" w:cs="Times New Roman"/>
          <w:color w:val="auto"/>
          <w:sz w:val="18"/>
          <w:szCs w:val="18"/>
          <w:highlight w:val="none"/>
        </w:rPr>
      </w:pPr>
      <w:r>
        <w:rPr>
          <w:rFonts w:hint="default" w:ascii="Times New Roman" w:hAnsi="Times New Roman" w:cs="Times New Roman"/>
          <w:color w:val="auto"/>
          <w:highlight w:val="none"/>
        </w:rPr>
        <w:t xml:space="preserve">表1（续）  成品各部位主要尺寸             </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color w:val="auto"/>
          <w:sz w:val="18"/>
          <w:highlight w:val="none"/>
        </w:rPr>
        <w:t xml:space="preserve">单位为毫米</w:t>
      </w:r>
      <w:r/>
    </w:p>
    <w:tbl>
      <w:tblPr>
        <w:tblStyle w:val="848"/>
        <w:tblW w:w="0" w:type="auto"/>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93"/>
        <w:gridCol w:w="3195"/>
        <w:gridCol w:w="3192"/>
      </w:tblGrid>
      <w:tr>
        <w:trPr>
          <w:trHeight w:val="395"/>
        </w:trPr>
        <w:tc>
          <w:tcPr>
            <w:tcBorders>
              <w:top w:val="single" w:color="auto" w:sz="12" w:space="0"/>
              <w:left w:val="single" w:color="auto" w:sz="12" w:space="0"/>
              <w:bottom w:val="single" w:color="auto" w:sz="12"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部位（件）名称</w:t>
            </w:r>
            <w:r>
              <w:rPr>
                <w:rFonts w:ascii="宋体" w:hAnsi="宋体" w:cs="宋体"/>
              </w:rPr>
            </w:r>
            <w:r/>
          </w:p>
        </w:tc>
        <w:tc>
          <w:tcPr>
            <w:tcBorders>
              <w:top w:val="single" w:color="auto" w:sz="12" w:space="0"/>
              <w:bottom w:val="single" w:color="auto" w:sz="12" w:space="0"/>
            </w:tcBorders>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成品尺寸</w:t>
            </w:r>
            <w:r>
              <w:rPr>
                <w:rFonts w:ascii="宋体" w:hAnsi="宋体" w:cs="宋体"/>
              </w:rPr>
            </w:r>
            <w:r/>
          </w:p>
        </w:tc>
        <w:tc>
          <w:tcPr>
            <w:tcBorders>
              <w:top w:val="single" w:color="auto" w:sz="12" w:space="0"/>
              <w:bottom w:val="single" w:color="auto" w:sz="12" w:space="0"/>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极限偏差</w:t>
            </w:r>
            <w:r>
              <w:rPr>
                <w:rFonts w:ascii="宋体" w:hAnsi="宋体" w:cs="宋体"/>
              </w:rPr>
            </w:r>
            <w:r/>
          </w:p>
        </w:tc>
      </w:tr>
      <w:tr>
        <w:trPr>
          <w:trHeight w:val="395"/>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窗口高度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810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10</w:t>
            </w:r>
            <w:r>
              <w:rPr>
                <w:rFonts w:ascii="宋体" w:hAnsi="宋体" w:cs="宋体"/>
              </w:rPr>
            </w:r>
            <w:r/>
          </w:p>
        </w:tc>
      </w:tr>
      <w:tr>
        <w:trPr>
          <w:trHeight w:val="395"/>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窗口宽度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1100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395"/>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before="100" w:beforeAutospacing="1" w:after="100" w:afterAutospacing="1"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窗帘高度</w:t>
            </w:r>
            <w:r>
              <w:rPr>
                <w:rFonts w:ascii="宋体" w:hAnsi="宋体" w:cs="宋体"/>
              </w:rPr>
            </w:r>
            <w:r/>
          </w:p>
        </w:tc>
        <w:tc>
          <w:tcPr>
            <w:tcW w:w="3195" w:type="dxa"/>
            <w:vAlign w:val="center"/>
            <w:textDirection w:val="lrTb"/>
            <w:noWrap w:val="false"/>
          </w:tcPr>
          <w:p>
            <w:pPr>
              <w:jc w:val="center"/>
              <w:spacing w:before="100" w:beforeAutospacing="1" w:after="100" w:afterAutospacing="1"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900</w:t>
            </w:r>
            <w:r>
              <w:rPr>
                <w:rFonts w:ascii="宋体" w:hAnsi="宋体" w:cs="宋体"/>
              </w:rPr>
            </w:r>
            <w:r/>
          </w:p>
        </w:tc>
        <w:tc>
          <w:tcPr>
            <w:tcBorders>
              <w:right w:val="single" w:color="auto" w:sz="12" w:space="0"/>
            </w:tcBorders>
            <w:tcW w:w="3192" w:type="dxa"/>
            <w:vAlign w:val="center"/>
            <w:textDirection w:val="lrTb"/>
            <w:noWrap w:val="false"/>
          </w:tcPr>
          <w:p>
            <w:pPr>
              <w:jc w:val="center"/>
              <w:spacing w:before="100" w:beforeAutospacing="1" w:after="100" w:afterAutospacing="1"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395"/>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窗帘宽度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1200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379"/>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窗口下边距地面高度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750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379"/>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三角窗底口宽度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1390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379"/>
        </w:trPr>
        <w:tc>
          <w:tcPr>
            <w:tcBorders>
              <w:top w:val="single" w:color="auto" w:sz="6" w:space="0"/>
              <w:left w:val="single" w:color="auto" w:sz="12" w:space="0"/>
              <w:bottom w:val="single" w:color="auto" w:sz="6"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三角窗口高度</w:t>
            </w:r>
            <w:r>
              <w:rPr>
                <w:rFonts w:ascii="宋体" w:hAnsi="宋体" w:cs="宋体"/>
              </w:rPr>
            </w:r>
            <w:r/>
          </w:p>
        </w:tc>
        <w:tc>
          <w:tcPr>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400</w:t>
            </w:r>
            <w:r>
              <w:rPr>
                <w:rFonts w:ascii="宋体" w:hAnsi="宋体" w:cs="宋体"/>
              </w:rPr>
            </w:r>
            <w:r/>
          </w:p>
        </w:tc>
        <w:tc>
          <w:tcPr>
            <w:tcBorders>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20</w:t>
            </w:r>
            <w:r>
              <w:rPr>
                <w:rFonts w:ascii="宋体" w:hAnsi="宋体" w:cs="宋体"/>
              </w:rPr>
            </w:r>
            <w:r/>
          </w:p>
        </w:tc>
      </w:tr>
      <w:tr>
        <w:trPr>
          <w:trHeight w:val="411"/>
        </w:trPr>
        <w:tc>
          <w:tcPr>
            <w:tcBorders>
              <w:top w:val="single" w:color="auto" w:sz="6" w:space="0"/>
              <w:left w:val="single" w:color="auto" w:sz="12" w:space="0"/>
              <w:bottom w:val="single" w:color="auto" w:sz="12" w:space="0"/>
            </w:tcBorders>
            <w:tcW w:w="3193"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培土帘宽度</w:t>
            </w:r>
            <w:r>
              <w:rPr>
                <w:rFonts w:ascii="宋体" w:hAnsi="宋体" w:cs="宋体"/>
              </w:rPr>
            </w:r>
            <w:r/>
          </w:p>
        </w:tc>
        <w:tc>
          <w:tcPr>
            <w:tcBorders>
              <w:top w:val="single" w:color="auto" w:sz="6" w:space="0"/>
              <w:bottom w:val="single" w:color="auto" w:sz="12" w:space="0"/>
            </w:tcBorders>
            <w:tcW w:w="3195"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200</w:t>
            </w:r>
            <w:r>
              <w:rPr>
                <w:rFonts w:ascii="宋体" w:hAnsi="宋体" w:cs="宋体"/>
              </w:rPr>
            </w:r>
            <w:r/>
          </w:p>
        </w:tc>
        <w:tc>
          <w:tcPr>
            <w:tcBorders>
              <w:top w:val="single" w:color="auto" w:sz="6" w:space="0"/>
              <w:bottom w:val="single" w:color="auto" w:sz="12" w:space="0"/>
              <w:right w:val="single" w:color="auto" w:sz="12" w:space="0"/>
            </w:tcBorders>
            <w:tcW w:w="3192" w:type="dxa"/>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Cs w:val="24"/>
                <w:highlight w:val="none"/>
              </w:rPr>
              <w:t xml:space="preserve">±</w:t>
            </w:r>
            <w:r>
              <w:rPr>
                <w:rFonts w:hint="default" w:ascii="宋体" w:hAnsi="宋体" w:eastAsia="仿宋" w:cs="宋体"/>
                <w:color w:val="auto"/>
                <w:sz w:val="18"/>
                <w:szCs w:val="18"/>
                <w:highlight w:val="none"/>
              </w:rPr>
              <w:t xml:space="preserve">10</w:t>
            </w:r>
            <w:r>
              <w:rPr>
                <w:rFonts w:ascii="宋体" w:hAnsi="宋体" w:cs="宋体"/>
              </w:rPr>
            </w:r>
            <w:r/>
          </w:p>
        </w:tc>
      </w:tr>
    </w:tbl>
    <w:p>
      <w:pPr>
        <w:pStyle w:val="1045"/>
        <w:numPr>
          <w:ilvl w:val="2"/>
          <w:numId w:val="10"/>
        </w:numPr>
        <w:ind w:left="0" w:firstLine="0"/>
        <w:rPr>
          <w:rFonts w:hint="default" w:ascii="Times New Roman" w:hAnsi="Times New Roman" w:cs="Times New Roman"/>
          <w:color w:val="auto"/>
          <w:highlight w:val="none"/>
        </w:rPr>
      </w:pPr>
      <w:r/>
      <w:bookmarkStart w:id="317" w:name="_Toc339004698"/>
      <w:r>
        <w:rPr>
          <w:rFonts w:hint="default" w:ascii="Times New Roman" w:hAnsi="Times New Roman" w:cs="Times New Roman"/>
          <w:color w:val="auto"/>
          <w:highlight w:val="none"/>
        </w:rPr>
        <w:t xml:space="preserve">结构及主要部件尺寸</w:t>
      </w:r>
      <w:bookmarkEnd w:id="314"/>
      <w:r/>
      <w:bookmarkEnd w:id="315"/>
      <w:r/>
      <w:bookmarkEnd w:id="316"/>
      <w:r/>
      <w:bookmarkEnd w:id="317"/>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救灾专用 12㎡单帐篷由篷体、纱围、框架及配件（含三角桩、拉绳、包装袋）</w:t>
      </w:r>
      <w:r>
        <w:rPr>
          <w:rFonts w:hint="eastAsia" w:ascii="Times New Roman" w:eastAsia="宋体" w:cs="Times New Roman"/>
          <w:color w:val="auto"/>
          <w:highlight w:val="none"/>
          <w:lang w:eastAsia="zh-CN"/>
        </w:rPr>
        <w:t xml:space="preserve">等</w:t>
      </w:r>
      <w:r>
        <w:rPr>
          <w:rFonts w:hint="default" w:ascii="Times New Roman" w:hAnsi="Times New Roman" w:eastAsia="宋体" w:cs="Times New Roman"/>
          <w:color w:val="auto"/>
          <w:highlight w:val="none"/>
        </w:rPr>
        <w:t xml:space="preserve">部分组成。</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篷体由篷顶、前山墙、后山墙与侧墙组成,各部件名称、结构及主要尺寸见附录A中图A.1～A.13。</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框架由通用杆、立杆、山墙地杆和端架三通、中架四通、地杆四通及钢丝拉绳组件组成，各部件名称、结构及主要尺寸见图2及附录B中图B.1～B.8。图中未注公差的线性尺寸公差按GB/T 1804中的中等级规定。</w:t>
      </w:r>
      <w:r/>
    </w:p>
    <w:p>
      <w:pPr>
        <w:pStyle w:val="1048"/>
        <w:numPr>
          <w:ilvl w:val="3"/>
          <w:numId w:val="10"/>
        </w:numPr>
        <w:ind w:left="0" w:hanging="7"/>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189230</wp:posOffset>
                </wp:positionH>
                <wp:positionV relativeFrom="paragraph">
                  <wp:posOffset>229870</wp:posOffset>
                </wp:positionV>
                <wp:extent cx="5092700" cy="3559810"/>
                <wp:effectExtent l="0" t="0" r="0" b="8890"/>
                <wp:wrapTopAndBottom/>
                <wp:docPr id="5" name="图片 218" descr="12 单 框架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18" descr="12 单 框架图"/>
                        <pic:cNvPicPr>
                          <a:picLocks noChangeAspect="1"/>
                        </pic:cNvPicPr>
                        <pic:nvPr/>
                      </pic:nvPicPr>
                      <pic:blipFill>
                        <a:blip r:embed="rId21"/>
                        <a:stretch/>
                      </pic:blipFill>
                      <pic:spPr bwMode="auto">
                        <a:xfrm>
                          <a:off x="0" y="0"/>
                          <a:ext cx="5092700" cy="3559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9504;o:allowoverlap:true;o:allowincell:true;mso-position-horizontal-relative:text;margin-left:14.9pt;mso-position-horizontal:absolute;mso-position-vertical-relative:text;margin-top:18.1pt;mso-position-vertical:absolute;width:401.0pt;height:280.3pt;mso-wrap-distance-left:9.0pt;mso-wrap-distance-top:0.0pt;mso-wrap-distance-right:9.0pt;mso-wrap-distance-bottom:0.0pt;" stroked="f">
                <v:path textboxrect="0,0,0,0"/>
                <w10:wrap type="topAndBottom"/>
                <v:imagedata r:id="rId21" o:title=""/>
              </v:shape>
            </w:pict>
          </mc:Fallback>
        </mc:AlternateContent>
      </w:r>
      <w:r>
        <w:rPr>
          <w:rFonts w:hint="default" w:ascii="Times New Roman" w:hAnsi="Times New Roman" w:eastAsia="宋体" w:cs="Times New Roman"/>
          <w:color w:val="auto"/>
          <w:highlight w:val="none"/>
        </w:rPr>
        <w:t xml:space="preserve">各配件名称、结构及主要尺寸见附录C中图C.1～图C.5。</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6"/>
        <w:numPr>
          <w:ilvl w:val="0"/>
          <w:numId w:val="11"/>
        </w:numPr>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框架各部件名称、结构及主要尺寸</w:t>
      </w:r>
      <w:r/>
    </w:p>
    <w:p>
      <w:pPr>
        <w:pStyle w:val="1044"/>
      </w:pPr>
      <w:r/>
      <w:r/>
    </w:p>
    <w:p>
      <w:pPr>
        <w:pStyle w:val="1044"/>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5"/>
        <w:numPr>
          <w:ilvl w:val="2"/>
          <w:numId w:val="10"/>
        </w:numPr>
        <w:ind w:left="0" w:firstLine="0"/>
        <w:jc w:val="both"/>
        <w:rPr>
          <w:rFonts w:hint="default" w:ascii="Times New Roman" w:hAnsi="Times New Roman" w:cs="Times New Roman"/>
          <w:color w:val="auto"/>
          <w:highlight w:val="none"/>
        </w:rPr>
      </w:pPr>
      <w:r/>
      <w:bookmarkStart w:id="318" w:name="_Toc339004699"/>
      <w:r/>
      <w:bookmarkStart w:id="319" w:name="_Toc63652377"/>
      <w:r/>
      <w:bookmarkStart w:id="320" w:name="_Toc63652226"/>
      <w:r/>
      <w:bookmarkStart w:id="321" w:name="_Toc63652128"/>
      <w:r/>
      <w:bookmarkStart w:id="322" w:name="_Toc63650839"/>
      <w:r/>
      <w:bookmarkStart w:id="323" w:name="_Toc193103925"/>
      <w:r/>
      <w:bookmarkStart w:id="324" w:name="_Toc119817202"/>
      <w:r/>
      <w:bookmarkStart w:id="325" w:name="_Toc63651212"/>
      <w:r/>
      <w:bookmarkStart w:id="326" w:name="_Toc191462673"/>
      <w:r/>
      <w:bookmarkStart w:id="327" w:name="_Toc63484605"/>
      <w:r/>
      <w:bookmarkStart w:id="328" w:name="_Toc63651442"/>
      <w:r/>
      <w:bookmarkStart w:id="329" w:name="_Toc63650633"/>
      <w:r/>
      <w:bookmarkStart w:id="330" w:name="_Toc63651580"/>
      <w:r/>
      <w:bookmarkStart w:id="331" w:name="_Toc63583291"/>
      <w:r/>
      <w:bookmarkStart w:id="332" w:name="_Toc63672417"/>
      <w:r/>
      <w:bookmarkStart w:id="333" w:name="_Toc63651858"/>
      <w:r/>
      <w:bookmarkStart w:id="334" w:name="_Toc63652484"/>
      <w:r/>
      <w:bookmarkStart w:id="335" w:name="_Toc63583187"/>
      <w:r/>
      <w:bookmarkStart w:id="336" w:name="_Toc63652624"/>
      <w:r/>
      <w:bookmarkStart w:id="337" w:name="_Toc63652029"/>
      <w:r>
        <w:rPr>
          <w:rFonts w:hint="default" w:ascii="Times New Roman" w:hAnsi="Times New Roman" w:cs="Times New Roman"/>
          <w:color w:val="auto"/>
          <w:highlight w:val="none"/>
        </w:rPr>
        <w:t xml:space="preserve">材料规格</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pStyle w:val="1048"/>
        <w:numPr>
          <w:ilvl w:val="3"/>
          <w:numId w:val="0"/>
        </w:numPr>
        <w:ind w:firstLine="420"/>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帐篷主辅材料规格与质量要求、用途见表2。</w:t>
      </w:r>
      <w:r/>
    </w:p>
    <w:p>
      <w:pPr>
        <w:pStyle w:val="1047"/>
        <w:numPr>
          <w:ilvl w:val="0"/>
          <w:numId w:val="12"/>
        </w:numPr>
        <w:ind w:left="270" w:firstLine="0"/>
        <w:spacing w:before="156"/>
        <w:rPr>
          <w:rFonts w:hint="default" w:ascii="Times New Roman" w:hAnsi="Times New Roman" w:cs="Times New Roman"/>
          <w:b/>
          <w:bCs/>
          <w:color w:val="auto"/>
          <w:highlight w:val="none"/>
        </w:rPr>
      </w:pPr>
      <w:r>
        <w:rPr>
          <w:rFonts w:hint="default" w:ascii="Times New Roman" w:hAnsi="Times New Roman" w:cs="Times New Roman"/>
          <w:color w:val="auto"/>
          <w:highlight w:val="none"/>
        </w:rPr>
        <w:t xml:space="preserve">主辅材料规格与质量要求、用途</w:t>
      </w:r>
      <w:r/>
    </w:p>
    <w:tbl>
      <w:tblPr>
        <w:tblStyle w:val="84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9"/>
        <w:gridCol w:w="2675"/>
        <w:gridCol w:w="3077"/>
        <w:gridCol w:w="1875"/>
      </w:tblGrid>
      <w:tr>
        <w:trPr>
          <w:cantSplit/>
          <w:trHeight w:val="414"/>
        </w:trPr>
        <w:tc>
          <w:tcPr>
            <w:gridSpan w:val="2"/>
            <w:tcBorders>
              <w:top w:val="single" w:color="auto" w:sz="12" w:space="0"/>
              <w:bottom w:val="single" w:color="auto" w:sz="4" w:space="0"/>
            </w:tcBorders>
            <w:tcW w:w="232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材                料</w:t>
            </w:r>
            <w:r>
              <w:rPr>
                <w:rFonts w:ascii="宋体" w:hAnsi="宋体" w:cs="宋体"/>
              </w:rPr>
            </w:r>
            <w:r/>
          </w:p>
        </w:tc>
        <w:tc>
          <w:tcPr>
            <w:tcBorders>
              <w:top w:val="single" w:color="auto" w:sz="12" w:space="0"/>
            </w:tcBorders>
            <w:tcW w:w="1662" w:type="pct"/>
            <w:vAlign w:val="center"/>
            <w:vMerge w:val="restart"/>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质  量  要  求</w:t>
            </w:r>
            <w:r>
              <w:rPr>
                <w:rFonts w:ascii="宋体" w:hAnsi="宋体" w:cs="宋体"/>
              </w:rPr>
            </w:r>
            <w:r/>
          </w:p>
        </w:tc>
        <w:tc>
          <w:tcPr>
            <w:tcBorders>
              <w:top w:val="single" w:color="auto" w:sz="12" w:space="0"/>
            </w:tcBorders>
            <w:tcW w:w="1013" w:type="pct"/>
            <w:vAlign w:val="center"/>
            <w:vMerge w:val="restart"/>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用    途</w:t>
            </w:r>
            <w:r>
              <w:rPr>
                <w:rFonts w:ascii="宋体" w:hAnsi="宋体" w:cs="宋体"/>
              </w:rPr>
            </w:r>
            <w:r/>
          </w:p>
        </w:tc>
      </w:tr>
      <w:tr>
        <w:trPr>
          <w:cantSplit/>
          <w:trHeight w:val="368"/>
        </w:trPr>
        <w:tc>
          <w:tcPr>
            <w:tcBorders>
              <w:top w:val="single" w:color="auto" w:sz="4" w:space="0"/>
              <w:bottom w:val="single" w:color="auto" w:sz="12" w:space="0"/>
            </w:tcBorders>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名    称</w:t>
            </w:r>
            <w:r>
              <w:rPr>
                <w:rFonts w:ascii="宋体" w:hAnsi="宋体" w:cs="宋体"/>
              </w:rPr>
            </w:r>
            <w:r/>
          </w:p>
        </w:tc>
        <w:tc>
          <w:tcPr>
            <w:tcBorders>
              <w:top w:val="single" w:color="auto" w:sz="4" w:space="0"/>
              <w:bottom w:val="single" w:color="auto" w:sz="12" w:space="0"/>
            </w:tcBorders>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规    格</w:t>
            </w:r>
            <w:r>
              <w:rPr>
                <w:rFonts w:ascii="宋体" w:hAnsi="宋体" w:cs="宋体"/>
              </w:rPr>
            </w:r>
            <w:r/>
          </w:p>
        </w:tc>
        <w:tc>
          <w:tcPr>
            <w:tcBorders>
              <w:bottom w:val="single" w:color="auto" w:sz="12" w:space="0"/>
            </w:tcBorders>
            <w:tcW w:w="1662"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bottom w:val="single" w:color="auto" w:sz="12" w:space="0"/>
            </w:tcBorders>
            <w:tcW w:w="1013"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cantSplit/>
          <w:trHeight w:val="403"/>
        </w:trPr>
        <w:tc>
          <w:tcPr>
            <w:tcBorders>
              <w:top w:val="single" w:color="auto" w:sz="4" w:space="0"/>
            </w:tcBorders>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PU涂层布</w:t>
            </w:r>
            <w:r>
              <w:rPr>
                <w:rFonts w:ascii="宋体" w:hAnsi="宋体" w:cs="宋体"/>
              </w:rPr>
            </w:r>
            <w:r/>
          </w:p>
        </w:tc>
        <w:tc>
          <w:tcPr>
            <w:tcBorders>
              <w:top w:val="single" w:color="auto" w:sz="4" w:space="0"/>
            </w:tcBorders>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333dtex×333dtex涤纶丝</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w:t>
            </w:r>
            <w:r>
              <w:rPr>
                <w:rFonts w:hint="default" w:ascii="宋体" w:hAnsi="宋体" w:eastAsia="仿宋" w:cs="宋体"/>
                <w:color w:val="auto"/>
                <w:szCs w:val="24"/>
                <w:highlight w:val="none"/>
              </w:rPr>
              <w:t xml:space="preserve">J</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篷体、配件袋</w:t>
            </w:r>
            <w:r>
              <w:rPr>
                <w:rFonts w:ascii="宋体" w:hAnsi="宋体" w:cs="宋体"/>
              </w:rPr>
            </w:r>
            <w:r/>
          </w:p>
        </w:tc>
      </w:tr>
      <w:tr>
        <w:trPr>
          <w:cantSplit/>
          <w:trHeight w:val="431"/>
        </w:trPr>
        <w:tc>
          <w:tcPr>
            <w:tcBorders>
              <w:top w:val="single" w:color="auto" w:sz="4" w:space="0"/>
            </w:tcBorders>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涤纶防水帆布</w:t>
            </w:r>
            <w:r>
              <w:rPr>
                <w:rFonts w:ascii="宋体" w:hAnsi="宋体" w:cs="宋体"/>
              </w:rPr>
            </w:r>
            <w:r/>
          </w:p>
        </w:tc>
        <w:tc>
          <w:tcPr>
            <w:tcBorders>
              <w:top w:val="single" w:color="auto" w:sz="4" w:space="0"/>
            </w:tcBorders>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28×2/28×2</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w:t>
            </w:r>
            <w:r>
              <w:rPr>
                <w:rFonts w:hint="default" w:ascii="宋体" w:hAnsi="宋体" w:eastAsia="仿宋" w:cs="宋体"/>
                <w:color w:val="auto"/>
                <w:szCs w:val="24"/>
                <w:highlight w:val="none"/>
              </w:rPr>
              <w:t xml:space="preserve">L</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包装袋、配件工具袋</w:t>
            </w:r>
            <w:r>
              <w:rPr>
                <w:rFonts w:ascii="宋体" w:hAnsi="宋体" w:cs="宋体"/>
              </w:rPr>
            </w:r>
            <w:r/>
          </w:p>
        </w:tc>
      </w:tr>
      <w:tr>
        <w:trPr>
          <w:cantSplit/>
          <w:trHeight w:val="556"/>
        </w:trPr>
        <w:tc>
          <w:tcPr>
            <w:tcW w:w="880" w:type="pct"/>
            <w:vAlign w:val="center"/>
            <w:vMerge w:val="restart"/>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铝合金管</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6005 T6 Φ25 mm×1.2mm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附录B中图B.1～B.3及GB/T 6892</w:t>
            </w:r>
            <w:r>
              <w:rPr>
                <w:rFonts w:hint="default" w:ascii="宋体" w:hAnsi="宋体" w:eastAsia="宋体" w:cs="宋体"/>
                <w:color w:val="auto"/>
                <w:sz w:val="18"/>
                <w:szCs w:val="18"/>
                <w:highlight w:val="none"/>
              </w:rPr>
              <w:t xml:space="preserve">管内增加4根加强筋</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通用杆、山墙地杆、立杆</w:t>
            </w:r>
            <w:r>
              <w:rPr>
                <w:rFonts w:ascii="宋体" w:hAnsi="宋体" w:cs="宋体"/>
              </w:rPr>
            </w:r>
            <w:r/>
          </w:p>
        </w:tc>
      </w:tr>
      <w:tr>
        <w:trPr>
          <w:cantSplit/>
          <w:trHeight w:val="456"/>
        </w:trPr>
        <w:tc>
          <w:tcPr>
            <w:tcW w:w="880"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6005 T6 Φ28 mm×1.0mm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附录B中图B.3及GB/T 6892</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山墙地杆套管</w:t>
            </w:r>
            <w:r>
              <w:rPr>
                <w:rFonts w:ascii="宋体" w:hAnsi="宋体" w:cs="宋体"/>
              </w:rPr>
            </w:r>
            <w:r/>
          </w:p>
        </w:tc>
      </w:tr>
      <w:tr>
        <w:trPr>
          <w:cantSplit/>
          <w:trHeight w:val="480"/>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焊接钢管</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Q215  Φ28mm×1.0mm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附录B中图B.4～B.6及GB/T 13793</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端架三通、中架四通、地杆四通</w:t>
            </w:r>
            <w:r>
              <w:rPr>
                <w:rFonts w:ascii="宋体" w:hAnsi="宋体" w:cs="宋体"/>
              </w:rPr>
            </w:r>
            <w:r/>
          </w:p>
        </w:tc>
      </w:tr>
      <w:tr>
        <w:trPr>
          <w:cantSplit/>
          <w:trHeight w:val="386"/>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钢丝</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Q 195～Q 235  Φ</w:t>
            </w:r>
            <w:r>
              <w:rPr>
                <w:rFonts w:hint="default" w:ascii="宋体" w:hAnsi="宋体" w:eastAsia="仿宋" w:cs="宋体"/>
                <w:color w:val="auto"/>
                <w:sz w:val="18"/>
                <w:szCs w:val="18"/>
                <w:highlight w:val="none"/>
                <w:lang w:val="en-US" w:eastAsia="zh-CN"/>
              </w:rPr>
              <w:t xml:space="preserve">6</w:t>
            </w:r>
            <w:r>
              <w:rPr>
                <w:rFonts w:hint="default" w:ascii="宋体" w:hAnsi="宋体" w:eastAsia="仿宋" w:cs="宋体"/>
                <w:color w:val="auto"/>
                <w:sz w:val="18"/>
                <w:szCs w:val="18"/>
                <w:highlight w:val="none"/>
              </w:rPr>
              <w:t xml:space="preserve"> 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YB/T 5294及附录C中图C.5</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固定框</w:t>
            </w:r>
            <w:r>
              <w:rPr>
                <w:rFonts w:ascii="宋体" w:hAnsi="宋体" w:cs="宋体"/>
              </w:rPr>
            </w:r>
            <w:r/>
          </w:p>
        </w:tc>
      </w:tr>
      <w:tr>
        <w:trPr>
          <w:cantSplit/>
          <w:trHeight w:val="497"/>
        </w:trPr>
        <w:tc>
          <w:tcPr>
            <w:tcW w:w="880" w:type="pct"/>
            <w:vAlign w:val="center"/>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钢丝拉绳</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Φ4 mm，外包PVC胶管</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GB/T 20118及</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附录B中图B.8</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固定框架</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天蓝尼龙拉链</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8号</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平拉强力 ≥600 N</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拉头拉片结合强力 ≥250 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纱门、四角结合、包装袋</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本白尼龙拉链</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5号</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平拉强力 ≥500 N</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拉头拉片结合强力 ≥180 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外包装袋封口</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天蓝锦丝搭扣带</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宽度  40 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扣合强度 ≥7.0N/cm</w:t>
            </w:r>
            <w:r>
              <w:rPr>
                <w:rFonts w:hint="default" w:ascii="宋体" w:hAnsi="宋体" w:eastAsia="仿宋" w:cs="宋体"/>
                <w:color w:val="auto"/>
                <w:sz w:val="18"/>
                <w:szCs w:val="18"/>
                <w:highlight w:val="none"/>
                <w:vertAlign w:val="superscript"/>
              </w:rPr>
              <w:t xml:space="preserve">2 </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撕揭强度 ≥1.3N/cm</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门、窗、四角结合</w:t>
            </w:r>
            <w:r>
              <w:rPr>
                <w:rFonts w:ascii="宋体" w:hAnsi="宋体" w:cs="宋体"/>
              </w:rPr>
            </w:r>
            <w:r/>
          </w:p>
        </w:tc>
      </w:tr>
      <w:tr>
        <w:trPr>
          <w:cantSplit/>
          <w:trHeight w:val="368"/>
        </w:trPr>
        <w:tc>
          <w:tcPr>
            <w:tcW w:w="880" w:type="pct"/>
            <w:vAlign w:val="center"/>
            <w:vMerge w:val="restart"/>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紫铜管</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T</w:t>
            </w:r>
            <w:r>
              <w:rPr>
                <w:rFonts w:hint="default" w:ascii="宋体" w:hAnsi="宋体" w:eastAsia="仿宋" w:cs="宋体"/>
                <w:color w:val="auto"/>
                <w:sz w:val="18"/>
                <w:szCs w:val="18"/>
                <w:highlight w:val="none"/>
                <w:vertAlign w:val="subscript"/>
              </w:rPr>
              <w:t xml:space="preserve">2</w:t>
            </w:r>
            <w:r>
              <w:rPr>
                <w:rFonts w:hint="default" w:ascii="宋体" w:hAnsi="宋体" w:eastAsia="宋体" w:cs="宋体"/>
                <w:color w:val="auto"/>
                <w:sz w:val="18"/>
                <w:szCs w:val="18"/>
                <w:highlight w:val="none"/>
              </w:rPr>
              <w:t xml:space="preserve">、T</w:t>
            </w:r>
            <w:r>
              <w:rPr>
                <w:rFonts w:hint="default" w:ascii="宋体" w:hAnsi="宋体" w:eastAsia="仿宋" w:cs="宋体"/>
                <w:color w:val="auto"/>
                <w:sz w:val="18"/>
                <w:szCs w:val="18"/>
                <w:highlight w:val="none"/>
                <w:vertAlign w:val="subscript"/>
              </w:rPr>
              <w:t xml:space="preserve">3</w:t>
            </w:r>
            <w:r>
              <w:rPr>
                <w:rFonts w:hint="default" w:ascii="宋体" w:hAnsi="宋体" w:eastAsia="宋体" w:cs="宋体"/>
                <w:color w:val="auto"/>
                <w:sz w:val="18"/>
                <w:szCs w:val="18"/>
                <w:highlight w:val="none"/>
              </w:rPr>
              <w:t xml:space="preserve">  内径Φ10㎜壁厚1.0㎜</w:t>
            </w:r>
            <w:r>
              <w:rPr>
                <w:rFonts w:ascii="宋体" w:hAnsi="宋体" w:cs="宋体"/>
              </w:rPr>
            </w:r>
            <w:r/>
          </w:p>
        </w:tc>
        <w:tc>
          <w:tcPr>
            <w:tcW w:w="1662" w:type="pct"/>
            <w:vAlign w:val="center"/>
            <w:vMerge w:val="restart"/>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GB/T 1527</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夹固竖向钢丝拉绳</w:t>
            </w:r>
            <w:r>
              <w:rPr>
                <w:rFonts w:ascii="宋体" w:hAnsi="宋体" w:cs="宋体"/>
              </w:rPr>
            </w:r>
            <w:r/>
          </w:p>
        </w:tc>
      </w:tr>
      <w:tr>
        <w:trPr>
          <w:cantSplit/>
          <w:trHeight w:val="368"/>
        </w:trPr>
        <w:tc>
          <w:tcPr>
            <w:tcW w:w="880"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T</w:t>
            </w:r>
            <w:r>
              <w:rPr>
                <w:rFonts w:hint="default" w:ascii="宋体" w:hAnsi="宋体" w:eastAsia="仿宋" w:cs="宋体"/>
                <w:color w:val="auto"/>
                <w:sz w:val="18"/>
                <w:szCs w:val="18"/>
                <w:highlight w:val="none"/>
                <w:vertAlign w:val="subscript"/>
              </w:rPr>
              <w:t xml:space="preserve">2</w:t>
            </w:r>
            <w:r>
              <w:rPr>
                <w:rFonts w:hint="default" w:ascii="宋体" w:hAnsi="宋体" w:eastAsia="宋体" w:cs="宋体"/>
                <w:color w:val="auto"/>
                <w:sz w:val="18"/>
                <w:szCs w:val="18"/>
                <w:highlight w:val="none"/>
              </w:rPr>
              <w:t xml:space="preserve">、T</w:t>
            </w:r>
            <w:r>
              <w:rPr>
                <w:rFonts w:hint="default" w:ascii="宋体" w:hAnsi="宋体" w:eastAsia="仿宋" w:cs="宋体"/>
                <w:color w:val="auto"/>
                <w:sz w:val="18"/>
                <w:szCs w:val="18"/>
                <w:highlight w:val="none"/>
                <w:vertAlign w:val="subscript"/>
              </w:rPr>
              <w:t xml:space="preserve">3</w:t>
            </w:r>
            <w:r>
              <w:rPr>
                <w:rFonts w:hint="default" w:ascii="宋体" w:hAnsi="宋体" w:eastAsia="宋体" w:cs="宋体"/>
                <w:color w:val="auto"/>
                <w:sz w:val="18"/>
                <w:szCs w:val="18"/>
                <w:highlight w:val="none"/>
              </w:rPr>
              <w:t xml:space="preserve">  内径Φ8㎜壁厚1.0㎜</w:t>
            </w:r>
            <w:r>
              <w:rPr>
                <w:rFonts w:ascii="宋体" w:hAnsi="宋体" w:cs="宋体"/>
              </w:rPr>
            </w:r>
            <w:r/>
          </w:p>
        </w:tc>
        <w:tc>
          <w:tcPr>
            <w:tcW w:w="1662"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夹固横向钢丝拉绳</w:t>
            </w:r>
            <w:r>
              <w:rPr>
                <w:rFonts w:ascii="宋体" w:hAnsi="宋体" w:cs="宋体"/>
              </w:rPr>
            </w:r>
            <w:r/>
          </w:p>
        </w:tc>
      </w:tr>
      <w:tr>
        <w:trPr>
          <w:cantSplit/>
          <w:trHeight w:val="368"/>
        </w:trPr>
        <w:tc>
          <w:tcPr>
            <w:tcW w:w="880" w:type="pct"/>
            <w:vAlign w:val="center"/>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白涤纶包芯绳</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Φ6 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 ≥2500N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固定帐篷用拉绳</w:t>
            </w:r>
            <w:r>
              <w:rPr>
                <w:rFonts w:ascii="宋体" w:hAnsi="宋体" w:cs="宋体"/>
              </w:rPr>
            </w:r>
            <w:r/>
          </w:p>
        </w:tc>
      </w:tr>
      <w:tr>
        <w:trPr>
          <w:cantSplit/>
          <w:trHeight w:val="366"/>
        </w:trPr>
        <w:tc>
          <w:tcPr>
            <w:tcW w:w="880" w:type="pct"/>
            <w:vAlign w:val="center"/>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天蓝涤纶缝纫线</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29.5tex</w:t>
            </w:r>
            <w:r>
              <w:rPr>
                <w:rFonts w:hint="default" w:ascii="宋体" w:hAnsi="宋体" w:eastAsia="宋体" w:cs="宋体"/>
                <w:color w:val="auto"/>
                <w:spacing w:val="-4"/>
                <w:sz w:val="18"/>
                <w:szCs w:val="18"/>
                <w:highlight w:val="none"/>
                <w:lang w:eastAsia="zh-CN"/>
              </w:rPr>
              <w:t xml:space="preserve">×</w:t>
            </w:r>
            <w:r>
              <w:rPr>
                <w:rFonts w:hint="default" w:ascii="宋体" w:hAnsi="宋体" w:eastAsia="仿宋" w:cs="宋体"/>
                <w:color w:val="auto"/>
                <w:sz w:val="18"/>
                <w:szCs w:val="18"/>
                <w:highlight w:val="none"/>
              </w:rPr>
              <w:t xml:space="preserve">3</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GB/T 6836</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缝制篷体、包装袋</w:t>
            </w:r>
            <w:r>
              <w:rPr>
                <w:rFonts w:ascii="宋体" w:hAnsi="宋体" w:cs="宋体"/>
              </w:rPr>
            </w:r>
            <w:r/>
          </w:p>
        </w:tc>
      </w:tr>
      <w:tr>
        <w:trPr>
          <w:cantSplit/>
          <w:trHeight w:val="368"/>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热封胶条</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PU胶条  宽度≥25mm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厚度0.10～0.12 mm</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覆盖缝合针眼</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弹簧钢</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T8A、65Mn  t0.5mm宽度8.5mm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YB/T 5058及</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附录B中图B.7</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弹簧卡</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带管三角环</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Q 195～Q 235 Φ4.0mm</w:t>
            </w:r>
            <w:r>
              <w:rPr>
                <w:rFonts w:ascii="宋体" w:hAnsi="宋体" w:eastAsia="Symbol" w:cs="宋体"/>
                <w:color w:val="auto"/>
                <w:sz w:val="18"/>
                <w:szCs w:val="18"/>
                <w:highlight w:val="none"/>
              </w:rPr>
              <w:t xml:space="preserve">´</w:t>
            </w:r>
            <w:r>
              <w:rPr>
                <w:rFonts w:hint="default" w:ascii="宋体" w:hAnsi="宋体" w:eastAsia="仿宋" w:cs="宋体"/>
                <w:color w:val="auto"/>
                <w:sz w:val="18"/>
                <w:szCs w:val="18"/>
                <w:highlight w:val="none"/>
              </w:rPr>
              <w:t xml:space="preserve">48mm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YB/T 5294及</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附录C中图C.2</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连接拉绳固定帐篷</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天蓝插扣</w:t>
            </w:r>
            <w:r>
              <w:rPr>
                <w:rFonts w:ascii="宋体" w:hAnsi="宋体" w:cs="宋体"/>
              </w:rPr>
            </w:r>
            <w:r/>
          </w:p>
        </w:tc>
        <w:tc>
          <w:tcPr>
            <w:tcW w:w="1445" w:type="pct"/>
            <w:vAlign w:val="center"/>
            <w:vMerge w:val="restart"/>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聚甲醛  内径50mm宽</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抗拉强力≥650N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包装袋束紧</w:t>
            </w:r>
            <w:r>
              <w:rPr>
                <w:rFonts w:ascii="宋体" w:hAnsi="宋体" w:cs="宋体"/>
              </w:rPr>
            </w:r>
            <w:r/>
          </w:p>
        </w:tc>
      </w:tr>
      <w:tr>
        <w:trPr>
          <w:cantSplit/>
          <w:trHeight w:val="497"/>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天蓝三道梁</w:t>
            </w:r>
            <w:r>
              <w:rPr>
                <w:rFonts w:ascii="宋体" w:hAnsi="宋体" w:cs="宋体"/>
              </w:rPr>
            </w:r>
            <w:r/>
          </w:p>
        </w:tc>
        <w:tc>
          <w:tcPr>
            <w:tcW w:w="1445"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抗拉强力≥650N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调节束紧带</w:t>
            </w:r>
            <w:r>
              <w:rPr>
                <w:rFonts w:ascii="宋体" w:hAnsi="宋体" w:cs="宋体"/>
              </w:rPr>
            </w:r>
            <w:r/>
          </w:p>
        </w:tc>
      </w:tr>
      <w:tr>
        <w:trPr>
          <w:cantSplit/>
          <w:trHeight w:val="480"/>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天蓝涤纶线带</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28×4/50 mm×1.8 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 ≥2500N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缝制带管三角环、包装袋束紧</w:t>
            </w:r>
            <w:r>
              <w:rPr>
                <w:rFonts w:ascii="宋体" w:hAnsi="宋体" w:cs="宋体"/>
              </w:rPr>
            </w:r>
            <w:r/>
          </w:p>
        </w:tc>
      </w:tr>
      <w:tr>
        <w:trPr>
          <w:cantSplit/>
          <w:trHeight w:val="480"/>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天蓝涤纶线带</w:t>
            </w:r>
            <w:r>
              <w:rPr>
                <w:rFonts w:ascii="宋体" w:hAnsi="宋体" w:cs="宋体"/>
              </w:rPr>
            </w:r>
            <w:r/>
          </w:p>
        </w:tc>
        <w:tc>
          <w:tcPr>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28×4/22 mm×1.0 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 ≥800N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窗格带、框架捆扎带、地杆束紧带、插袋包边、纱围上端捆扎带</w:t>
            </w:r>
            <w:r>
              <w:rPr>
                <w:rFonts w:ascii="宋体" w:hAnsi="宋体" w:cs="宋体"/>
              </w:rPr>
            </w:r>
            <w:r/>
          </w:p>
        </w:tc>
      </w:tr>
      <w:tr>
        <w:trPr>
          <w:cantSplit/>
          <w:trHeight w:val="368"/>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天蓝涤纶线带</w:t>
            </w:r>
            <w:r>
              <w:rPr>
                <w:rFonts w:ascii="宋体" w:hAnsi="宋体" w:cs="宋体"/>
              </w:rPr>
            </w:r>
            <w:r/>
          </w:p>
        </w:tc>
        <w:tc>
          <w:tcPr>
            <w:tcW w:w="1445" w:type="pct"/>
            <w:vAlign w:val="center"/>
            <w:textDirection w:val="lrTb"/>
            <w:noWrap w:val="false"/>
          </w:tcPr>
          <w:p>
            <w:pPr>
              <w:jc w:val="center"/>
              <w:spacing w:line="240" w:lineRule="exac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28×</w:t>
            </w:r>
            <w:r>
              <w:rPr>
                <w:rFonts w:hint="default" w:ascii="宋体" w:hAnsi="宋体" w:eastAsia="仿宋" w:cs="宋体"/>
                <w:color w:val="auto"/>
                <w:sz w:val="18"/>
                <w:szCs w:val="18"/>
                <w:highlight w:val="none"/>
                <w:lang w:val="en-US" w:eastAsia="zh-CN"/>
              </w:rPr>
              <w:t xml:space="preserve">2</w:t>
            </w:r>
            <w:r>
              <w:rPr>
                <w:rFonts w:hint="default" w:ascii="宋体" w:hAnsi="宋体" w:eastAsia="仿宋" w:cs="宋体"/>
                <w:color w:val="auto"/>
                <w:sz w:val="18"/>
                <w:szCs w:val="18"/>
                <w:highlight w:val="none"/>
              </w:rPr>
              <w:t xml:space="preserve">/10 mm×1.0 mm</w:t>
            </w:r>
            <w:r>
              <w:rPr>
                <w:rFonts w:ascii="宋体" w:hAnsi="宋体" w:cs="宋体"/>
              </w:rPr>
            </w:r>
            <w:r/>
          </w:p>
        </w:tc>
        <w:tc>
          <w:tcPr>
            <w:tcW w:w="1662" w:type="pct"/>
            <w:vAlign w:val="center"/>
            <w:textDirection w:val="lrTb"/>
            <w:noWrap w:val="false"/>
          </w:tcPr>
          <w:p>
            <w:pPr>
              <w:ind w:right="-107"/>
              <w:jc w:val="center"/>
              <w:spacing w:line="24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 ≥300 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三角窗帘提拉带</w:t>
            </w:r>
            <w:r>
              <w:rPr>
                <w:rFonts w:ascii="宋体" w:hAnsi="宋体" w:cs="宋体"/>
              </w:rPr>
            </w:r>
            <w:r/>
          </w:p>
        </w:tc>
      </w:tr>
      <w:tr>
        <w:trPr>
          <w:cantSplit/>
          <w:trHeight w:val="368"/>
        </w:trPr>
        <w:tc>
          <w:tcPr>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半圆环</w:t>
            </w:r>
            <w:r>
              <w:rPr>
                <w:rFonts w:ascii="宋体" w:hAnsi="宋体" w:cs="宋体"/>
              </w:rPr>
            </w:r>
            <w:r/>
          </w:p>
        </w:tc>
        <w:tc>
          <w:tcPr>
            <w:tcW w:w="1445" w:type="pct"/>
            <w:vAlign w:val="center"/>
            <w:textDirection w:val="lrTb"/>
            <w:noWrap w:val="false"/>
          </w:tcPr>
          <w:p>
            <w:pPr>
              <w:jc w:val="center"/>
              <w:spacing w:line="24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Q 195～Q 235  Φ2.0mm×19mm</w:t>
            </w:r>
            <w:r>
              <w:rPr>
                <w:rFonts w:ascii="宋体" w:hAnsi="宋体" w:cs="宋体"/>
              </w:rPr>
            </w:r>
            <w:r/>
          </w:p>
        </w:tc>
        <w:tc>
          <w:tcPr>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YB/T 5294及</w:t>
            </w:r>
            <w:r>
              <w:rPr>
                <w:rFonts w:ascii="宋体" w:hAnsi="宋体" w:cs="宋体"/>
              </w:rPr>
            </w:r>
            <w:r/>
          </w:p>
          <w:p>
            <w:pPr>
              <w:ind w:right="-107"/>
              <w:jc w:val="center"/>
              <w:spacing w:line="24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附录C中图C.3</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穿三角窗帘提拉带</w:t>
            </w:r>
            <w:r>
              <w:rPr>
                <w:rFonts w:ascii="宋体" w:hAnsi="宋体" w:cs="宋体"/>
              </w:rPr>
            </w:r>
            <w:r/>
          </w:p>
        </w:tc>
      </w:tr>
      <w:tr>
        <w:trPr>
          <w:cantSplit/>
          <w:trHeight w:val="407"/>
        </w:trPr>
        <w:tc>
          <w:tcPr>
            <w:tcBorders>
              <w:top w:val="single" w:color="auto" w:sz="4" w:space="0"/>
              <w:left w:val="single" w:color="auto" w:sz="12" w:space="0"/>
              <w:bottom w:val="single" w:color="auto" w:sz="4" w:space="0"/>
              <w:right w:val="single" w:color="auto" w:sz="4" w:space="0"/>
            </w:tcBorders>
            <w:tcW w:w="880"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半圆头空心铆钉</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445"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φ5×32   不锈钢</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662"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r>
            <w:r>
              <w:rPr>
                <w:rFonts w:ascii="宋体" w:hAnsi="宋体" w:cs="宋体"/>
              </w:rPr>
            </w:r>
            <w:r/>
          </w:p>
        </w:tc>
        <w:tc>
          <w:tcPr>
            <w:tcBorders>
              <w:top w:val="single" w:color="auto" w:sz="4" w:space="0"/>
              <w:left w:val="single" w:color="auto" w:sz="4" w:space="0"/>
              <w:bottom w:val="single" w:color="auto" w:sz="4" w:space="0"/>
              <w:right w:val="single" w:color="auto" w:sz="12" w:space="0"/>
            </w:tcBorders>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山墙地杆</w:t>
            </w:r>
            <w:r>
              <w:rPr>
                <w:rFonts w:ascii="宋体" w:hAnsi="宋体" w:cs="宋体"/>
              </w:rPr>
            </w:r>
            <w:r/>
          </w:p>
        </w:tc>
      </w:tr>
    </w:tbl>
    <w:p>
      <w:pPr>
        <w:pStyle w:val="1047"/>
        <w:numPr>
          <w:ilvl w:val="0"/>
          <w:numId w:val="0"/>
        </w:numPr>
        <w:spacing w:before="156" w:after="156"/>
        <w:rPr>
          <w:rFonts w:hint="default" w:ascii="Times New Roman" w:hAnsi="Times New Roman" w:cs="Times New Roman"/>
          <w:b/>
          <w:bCs/>
          <w:color w:val="auto"/>
          <w:highlight w:val="none"/>
        </w:rPr>
      </w:pPr>
      <w:r/>
      <w:bookmarkStart w:id="338" w:name="_Toc191462674"/>
      <w:r/>
      <w:bookmarkStart w:id="339" w:name="_Toc193103926"/>
      <w:r/>
      <w:bookmarkStart w:id="340" w:name="_Toc339004700"/>
      <w:r>
        <w:rPr>
          <w:rFonts w:hint="default" w:ascii="Times New Roman" w:hAnsi="Times New Roman" w:cs="Times New Roman"/>
          <w:color w:val="auto"/>
          <w:highlight w:val="none"/>
        </w:rPr>
        <w:t xml:space="preserve">表2（续）主辅材料规格与质量要求、用途</w:t>
      </w:r>
      <w:r/>
    </w:p>
    <w:tbl>
      <w:tblPr>
        <w:tblStyle w:val="848"/>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8"/>
        <w:gridCol w:w="2676"/>
        <w:gridCol w:w="3076"/>
        <w:gridCol w:w="1876"/>
      </w:tblGrid>
      <w:tr>
        <w:trPr>
          <w:cantSplit/>
          <w:trHeight w:val="381"/>
        </w:trPr>
        <w:tc>
          <w:tcPr>
            <w:gridSpan w:val="2"/>
            <w:tcBorders>
              <w:top w:val="single" w:color="auto" w:sz="12" w:space="0"/>
              <w:bottom w:val="single" w:color="auto" w:sz="4" w:space="0"/>
            </w:tcBorders>
            <w:tcW w:w="232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材                料</w:t>
            </w:r>
            <w:r>
              <w:rPr>
                <w:rFonts w:ascii="宋体" w:hAnsi="宋体" w:cs="宋体"/>
              </w:rPr>
            </w:r>
            <w:r/>
          </w:p>
        </w:tc>
        <w:tc>
          <w:tcPr>
            <w:tcBorders>
              <w:top w:val="single" w:color="auto" w:sz="12" w:space="0"/>
            </w:tcBorders>
            <w:tcW w:w="1661" w:type="pct"/>
            <w:vAlign w:val="center"/>
            <w:vMerge w:val="restart"/>
            <w:textDirection w:val="lrTb"/>
            <w:noWrap w:val="false"/>
          </w:tcPr>
          <w:p>
            <w:pPr>
              <w:pStyle w:val="859"/>
              <w:jc w:val="center"/>
              <w:spacing w:line="0" w:lineRule="atLeast"/>
              <w:tabs>
                <w:tab w:val="center" w:pos="4153" w:leader="none"/>
                <w:tab w:val="clear" w:pos="7143" w:leader="none"/>
                <w:tab w:val="right" w:pos="8306" w:leader="none"/>
                <w:tab w:val="clear" w:pos="14287" w:leader="none"/>
              </w:tabs>
              <w:rPr>
                <w:rFonts w:hint="default" w:ascii="宋体" w:hAnsi="宋体" w:cs="宋体"/>
                <w:color w:val="auto"/>
                <w:highlight w:val="none"/>
              </w:rPr>
            </w:pPr>
            <w:r>
              <w:rPr>
                <w:rFonts w:hint="default" w:ascii="宋体" w:hAnsi="宋体" w:eastAsia="宋体" w:cs="宋体"/>
                <w:color w:val="auto"/>
                <w:highlight w:val="none"/>
              </w:rPr>
              <w:t xml:space="preserve">质  量  要  求</w:t>
            </w:r>
            <w:r>
              <w:rPr>
                <w:rFonts w:ascii="宋体" w:hAnsi="宋体" w:cs="宋体"/>
              </w:rPr>
            </w:r>
            <w:r/>
          </w:p>
        </w:tc>
        <w:tc>
          <w:tcPr>
            <w:tcBorders>
              <w:top w:val="single" w:color="auto" w:sz="12" w:space="0"/>
            </w:tcBorders>
            <w:tcW w:w="1013" w:type="pct"/>
            <w:vAlign w:val="center"/>
            <w:vMerge w:val="restart"/>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用    途</w:t>
            </w:r>
            <w:r>
              <w:rPr>
                <w:rFonts w:ascii="宋体" w:hAnsi="宋体" w:cs="宋体"/>
              </w:rPr>
            </w:r>
            <w:r/>
          </w:p>
        </w:tc>
      </w:tr>
      <w:tr>
        <w:trPr>
          <w:cantSplit/>
          <w:trHeight w:val="355"/>
        </w:trPr>
        <w:tc>
          <w:tcPr>
            <w:tcBorders>
              <w:top w:val="single" w:color="auto" w:sz="4" w:space="0"/>
              <w:bottom w:val="single" w:color="auto" w:sz="12"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名    称</w:t>
            </w:r>
            <w:r>
              <w:rPr>
                <w:rFonts w:ascii="宋体" w:hAnsi="宋体" w:cs="宋体"/>
              </w:rPr>
            </w:r>
            <w:r/>
          </w:p>
        </w:tc>
        <w:tc>
          <w:tcPr>
            <w:tcBorders>
              <w:top w:val="single" w:color="auto" w:sz="4" w:space="0"/>
              <w:bottom w:val="single" w:color="auto" w:sz="12"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规    格</w:t>
            </w:r>
            <w:r>
              <w:rPr>
                <w:rFonts w:ascii="宋体" w:hAnsi="宋体" w:cs="宋体"/>
              </w:rPr>
            </w:r>
            <w:r/>
          </w:p>
        </w:tc>
        <w:tc>
          <w:tcPr>
            <w:tcBorders>
              <w:bottom w:val="single" w:color="auto" w:sz="12" w:space="0"/>
            </w:tcBorders>
            <w:tcW w:w="1661"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bottom w:val="single" w:color="auto" w:sz="12" w:space="0"/>
            </w:tcBorders>
            <w:tcW w:w="1013"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cantSplit/>
          <w:trHeight w:val="355"/>
        </w:trPr>
        <w:tc>
          <w:tcPr>
            <w:tcBorders>
              <w:top w:val="single" w:color="auto" w:sz="4" w:space="0"/>
              <w:bottom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本白涤纶网眼布</w:t>
            </w:r>
            <w:r>
              <w:rPr>
                <w:rFonts w:ascii="宋体" w:hAnsi="宋体" w:cs="宋体"/>
              </w:rPr>
            </w:r>
            <w:r/>
          </w:p>
        </w:tc>
        <w:tc>
          <w:tcPr>
            <w:tcBorders>
              <w:top w:val="single" w:color="auto" w:sz="4" w:space="0"/>
              <w:bottom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55dtex/24f</w:t>
            </w:r>
            <w:r>
              <w:rPr>
                <w:rFonts w:ascii="宋体" w:hAnsi="宋体" w:cs="宋体"/>
              </w:rPr>
            </w:r>
            <w:r/>
          </w:p>
        </w:tc>
        <w:tc>
          <w:tcPr>
            <w:tcBorders>
              <w:bottom w:val="single" w:color="auto" w:sz="4" w:space="0"/>
            </w:tcBorders>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顶破强力 ≥150N及标样</w:t>
            </w:r>
            <w:r>
              <w:rPr>
                <w:rFonts w:ascii="宋体" w:hAnsi="宋体" w:cs="宋体"/>
              </w:rPr>
            </w:r>
            <w:r/>
          </w:p>
        </w:tc>
        <w:tc>
          <w:tcPr>
            <w:tcBorders>
              <w:bottom w:val="single" w:color="auto" w:sz="4" w:space="0"/>
            </w:tcBorders>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窗纱、纱门、三角窗纱</w:t>
            </w:r>
            <w:r>
              <w:rPr>
                <w:rFonts w:ascii="宋体" w:hAnsi="宋体" w:cs="宋体"/>
              </w:rPr>
            </w:r>
            <w:r/>
          </w:p>
        </w:tc>
      </w:tr>
      <w:tr>
        <w:trPr>
          <w:cantSplit/>
          <w:trHeight w:val="355"/>
        </w:trPr>
        <w:tc>
          <w:tcPr>
            <w:tcBorders>
              <w:top w:val="single" w:color="auto" w:sz="4" w:space="0"/>
              <w:bottom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角铝</w:t>
            </w:r>
            <w:r>
              <w:rPr>
                <w:rFonts w:ascii="宋体" w:hAnsi="宋体" w:cs="宋体"/>
              </w:rPr>
            </w:r>
            <w:r/>
          </w:p>
        </w:tc>
        <w:tc>
          <w:tcPr>
            <w:tcBorders>
              <w:top w:val="single" w:color="auto" w:sz="4" w:space="0"/>
              <w:bottom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6005 T6 30mm×30mm×3mm</w:t>
            </w:r>
            <w:r>
              <w:rPr>
                <w:rFonts w:ascii="宋体" w:hAnsi="宋体" w:cs="宋体"/>
              </w:rPr>
            </w:r>
            <w:r/>
          </w:p>
        </w:tc>
        <w:tc>
          <w:tcPr>
            <w:tcBorders>
              <w:bottom w:val="single" w:color="auto" w:sz="4" w:space="0"/>
            </w:tcBorders>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附录C中图C.1</w:t>
            </w:r>
            <w:r>
              <w:rPr>
                <w:rFonts w:ascii="宋体" w:hAnsi="宋体" w:cs="宋体"/>
              </w:rPr>
            </w:r>
            <w:r/>
          </w:p>
        </w:tc>
        <w:tc>
          <w:tcPr>
            <w:tcBorders>
              <w:bottom w:val="single" w:color="auto" w:sz="4" w:space="0"/>
            </w:tcBorders>
            <w:tcW w:w="1013" w:type="pct"/>
            <w:vAlign w:val="center"/>
            <w:textDirection w:val="lrTb"/>
            <w:noWrap w:val="false"/>
          </w:tcPr>
          <w:p>
            <w:pPr>
              <w:jc w:val="left"/>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三角桩</w:t>
            </w:r>
            <w:r>
              <w:rPr>
                <w:rFonts w:ascii="宋体" w:hAnsi="宋体" w:cs="宋体"/>
              </w:rPr>
            </w:r>
            <w:r/>
          </w:p>
        </w:tc>
      </w:tr>
      <w:tr>
        <w:trPr>
          <w:cantSplit/>
          <w:trHeight w:val="355"/>
        </w:trPr>
        <w:tc>
          <w:tcPr>
            <w:tcBorders>
              <w:top w:val="single" w:color="auto" w:sz="4" w:space="0"/>
              <w:bottom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橡塑桩头</w:t>
            </w:r>
            <w:r>
              <w:rPr>
                <w:rFonts w:ascii="宋体" w:hAnsi="宋体" w:cs="宋体"/>
              </w:rPr>
            </w:r>
            <w:r/>
          </w:p>
        </w:tc>
        <w:tc>
          <w:tcPr>
            <w:tcBorders>
              <w:top w:val="single" w:color="auto" w:sz="4" w:space="0"/>
              <w:bottom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桔红色、柔软型</w:t>
            </w:r>
            <w:r>
              <w:rPr>
                <w:rFonts w:ascii="宋体" w:hAnsi="宋体" w:cs="宋体"/>
              </w:rPr>
            </w:r>
            <w:r/>
          </w:p>
        </w:tc>
        <w:tc>
          <w:tcPr>
            <w:tcBorders>
              <w:bottom w:val="single" w:color="auto" w:sz="4" w:space="0"/>
            </w:tcBorders>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附录C中图C.4</w:t>
            </w:r>
            <w:r>
              <w:rPr>
                <w:rFonts w:ascii="宋体" w:hAnsi="宋体" w:cs="宋体"/>
              </w:rPr>
            </w:r>
            <w:r/>
          </w:p>
        </w:tc>
        <w:tc>
          <w:tcPr>
            <w:tcBorders>
              <w:bottom w:val="single" w:color="auto" w:sz="4" w:space="0"/>
            </w:tcBorders>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三角桩桩头</w:t>
            </w:r>
            <w:r>
              <w:rPr>
                <w:rFonts w:ascii="宋体" w:hAnsi="宋体" w:cs="宋体"/>
              </w:rPr>
            </w:r>
            <w:r/>
          </w:p>
        </w:tc>
      </w:tr>
      <w:tr>
        <w:trPr>
          <w:cantSplit/>
          <w:trHeight w:val="370"/>
        </w:trPr>
        <w:tc>
          <w:tcPr>
            <w:tcBorders>
              <w:top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PVC透明塑料片</w:t>
            </w:r>
            <w:r>
              <w:rPr>
                <w:rFonts w:ascii="宋体" w:hAnsi="宋体" w:cs="宋体"/>
              </w:rPr>
            </w:r>
            <w:r/>
          </w:p>
        </w:tc>
        <w:tc>
          <w:tcPr>
            <w:tcBorders>
              <w:top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t 0.36mm</w:t>
            </w:r>
            <w:r>
              <w:rPr>
                <w:rFonts w:ascii="宋体" w:hAnsi="宋体" w:cs="宋体"/>
              </w:rPr>
            </w:r>
            <w:r/>
          </w:p>
        </w:tc>
        <w:tc>
          <w:tcPr>
            <w:tcBorders>
              <w:top w:val="single" w:color="auto" w:sz="4" w:space="0"/>
            </w:tcBorders>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r>
            <w:r>
              <w:rPr>
                <w:rFonts w:ascii="宋体" w:hAnsi="宋体" w:cs="宋体"/>
              </w:rPr>
            </w:r>
            <w:r/>
          </w:p>
        </w:tc>
        <w:tc>
          <w:tcPr>
            <w:tcBorders>
              <w:top w:val="single" w:color="auto" w:sz="4" w:space="0"/>
            </w:tcBorders>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国旗插袋、标签插袋</w:t>
            </w:r>
            <w:r>
              <w:rPr>
                <w:rFonts w:ascii="宋体" w:hAnsi="宋体" w:cs="宋体"/>
              </w:rPr>
            </w:r>
            <w:r/>
          </w:p>
        </w:tc>
      </w:tr>
      <w:tr>
        <w:trPr>
          <w:cantSplit/>
          <w:trHeight w:val="370"/>
        </w:trPr>
        <w:tc>
          <w:tcPr>
            <w:tcBorders>
              <w:top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编织布</w:t>
            </w:r>
            <w:r>
              <w:rPr>
                <w:rFonts w:ascii="宋体" w:hAnsi="宋体" w:cs="宋体"/>
              </w:rPr>
            </w:r>
            <w:r/>
          </w:p>
        </w:tc>
        <w:tc>
          <w:tcPr>
            <w:tcBorders>
              <w:top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内覆膜型</w:t>
            </w:r>
            <w:r>
              <w:rPr>
                <w:rFonts w:ascii="宋体" w:hAnsi="宋体" w:cs="宋体"/>
              </w:rPr>
            </w:r>
            <w:r/>
          </w:p>
        </w:tc>
        <w:tc>
          <w:tcPr>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拉伸强力 ≥ 700 N/5cm</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经、纬密度≥35根/10cm</w:t>
            </w:r>
            <w:r>
              <w:rPr>
                <w:rFonts w:ascii="宋体" w:hAnsi="宋体" w:cs="宋体"/>
              </w:rPr>
            </w:r>
            <w:r/>
          </w:p>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单位面积质量 ≥90 g/m</w:t>
            </w:r>
            <w:r>
              <w:rPr>
                <w:rFonts w:hint="default" w:ascii="宋体" w:hAnsi="宋体" w:eastAsia="仿宋" w:cs="宋体"/>
                <w:color w:val="auto"/>
                <w:sz w:val="18"/>
                <w:szCs w:val="18"/>
                <w:highlight w:val="none"/>
                <w:vertAlign w:val="superscript"/>
              </w:rPr>
              <w:t xml:space="preserve">2</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外包装</w:t>
            </w:r>
            <w:r>
              <w:rPr>
                <w:rFonts w:ascii="宋体" w:hAnsi="宋体" w:cs="宋体"/>
              </w:rPr>
            </w:r>
            <w:r/>
          </w:p>
        </w:tc>
      </w:tr>
      <w:tr>
        <w:trPr>
          <w:cantSplit/>
          <w:trHeight w:val="370"/>
        </w:trPr>
        <w:tc>
          <w:tcPr>
            <w:tcBorders>
              <w:top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捆包绳</w:t>
            </w:r>
            <w:r>
              <w:rPr>
                <w:rFonts w:ascii="宋体" w:hAnsi="宋体" w:cs="宋体"/>
              </w:rPr>
            </w:r>
            <w:r/>
          </w:p>
        </w:tc>
        <w:tc>
          <w:tcPr>
            <w:tcBorders>
              <w:top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Φ7mm   三股</w:t>
            </w:r>
            <w:r>
              <w:rPr>
                <w:rFonts w:ascii="宋体" w:hAnsi="宋体" w:cs="宋体"/>
              </w:rPr>
            </w:r>
            <w:r/>
          </w:p>
        </w:tc>
        <w:tc>
          <w:tcPr>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 ≥1400 N</w:t>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包装袋捆扎</w:t>
            </w:r>
            <w:r>
              <w:rPr>
                <w:rFonts w:ascii="宋体" w:hAnsi="宋体" w:cs="宋体"/>
              </w:rPr>
            </w:r>
            <w:r/>
          </w:p>
        </w:tc>
      </w:tr>
      <w:tr>
        <w:trPr>
          <w:cantSplit/>
          <w:trHeight w:val="370"/>
        </w:trPr>
        <w:tc>
          <w:tcPr>
            <w:tcBorders>
              <w:top w:val="single" w:color="auto" w:sz="4" w:space="0"/>
            </w:tcBorders>
            <w:tcW w:w="879"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拉绳木板</w:t>
            </w:r>
            <w:r>
              <w:rPr>
                <w:rFonts w:ascii="宋体" w:hAnsi="宋体" w:cs="宋体"/>
              </w:rPr>
            </w:r>
            <w:r/>
          </w:p>
        </w:tc>
        <w:tc>
          <w:tcPr>
            <w:tcBorders>
              <w:top w:val="single" w:color="auto" w:sz="4" w:space="0"/>
            </w:tcBorders>
            <w:tcW w:w="1444"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硬杂木100mm×26mm</w:t>
            </w:r>
            <w:r>
              <w:rPr>
                <w:rFonts w:ascii="宋体" w:hAnsi="宋体" w:cs="宋体"/>
              </w:rPr>
            </w:r>
            <w:r/>
          </w:p>
        </w:tc>
        <w:tc>
          <w:tcPr>
            <w:tcW w:w="1661" w:type="pct"/>
            <w:vAlign w:val="center"/>
            <w:textDirection w:val="lrTb"/>
            <w:noWrap w:val="false"/>
          </w:tcPr>
          <w:p>
            <w:pPr>
              <w:jc w:val="center"/>
              <w:spacing w:line="0" w:lineRule="atLeas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r>
            <w:r>
              <w:rPr>
                <w:rFonts w:ascii="宋体" w:hAnsi="宋体" w:cs="宋体"/>
              </w:rPr>
            </w:r>
            <w:r/>
          </w:p>
        </w:tc>
        <w:tc>
          <w:tcPr>
            <w:tcW w:w="1013" w:type="pct"/>
            <w:vAlign w:val="center"/>
            <w:textDirection w:val="lrTb"/>
            <w:noWrap w:val="false"/>
          </w:tcPr>
          <w:p>
            <w:pPr>
              <w:spacing w:line="0" w:lineRule="atLeas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紧固帐篷</w:t>
            </w:r>
            <w:r>
              <w:rPr>
                <w:rFonts w:ascii="宋体" w:hAnsi="宋体" w:cs="宋体"/>
              </w:rPr>
            </w:r>
            <w:r/>
          </w:p>
        </w:tc>
      </w:tr>
    </w:tbl>
    <w:p>
      <w:pPr>
        <w:pStyle w:val="1045"/>
        <w:numPr>
          <w:ilvl w:val="2"/>
          <w:numId w:val="10"/>
        </w:numPr>
        <w:ind w:left="0" w:firstLine="0"/>
        <w:spacing w:before="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篷体外观</w:t>
      </w:r>
      <w:bookmarkEnd w:id="338"/>
      <w:r/>
      <w:bookmarkEnd w:id="339"/>
      <w:r/>
      <w:bookmarkEnd w:id="340"/>
      <w:r>
        <w:rPr>
          <w:rFonts w:hint="default" w:ascii="Times New Roman" w:hAnsi="Times New Roman" w:cs="Times New Roman"/>
          <w:color w:val="auto"/>
          <w:highlight w:val="none"/>
        </w:rPr>
        <w:t xml:space="preserve">要求</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篷体材料应符合附录J的规定，颜色为天蓝色，潘通色卡号PANTONE 17-4041，涂层颜色为深灰色，潘通色卡号PANTONE 18-4005 。包装袋材料应符合附录L的规定，颜色为天蓝色，色相及织物组织的选择按主管部门审查批准的标样。篷体、包装袋各部位色差不低于GB/T 250规定的3级。</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篷体上印字为白色，印刷应端正、清晰、色度饱满、牢固，不得露底色，不得脏污。做防雨性能试验时，不得有褪色、掉色和流淌油墨现象。</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篷体应平展、整洁，表面污迹面积不得大于100mm</w:t>
      </w:r>
      <w:r>
        <w:rPr>
          <w:rFonts w:hint="default" w:ascii="Times New Roman" w:hAnsi="Times New Roman" w:eastAsia="宋体" w:cs="Times New Roman"/>
          <w:color w:val="auto"/>
          <w:highlight w:val="none"/>
          <w:vertAlign w:val="superscript"/>
        </w:rPr>
        <w:t xml:space="preserve">2</w:t>
      </w:r>
      <w:r>
        <w:rPr>
          <w:rFonts w:hint="default" w:ascii="Times New Roman" w:hAnsi="Times New Roman" w:eastAsia="宋体" w:cs="Times New Roman"/>
          <w:color w:val="auto"/>
          <w:highlight w:val="none"/>
        </w:rPr>
        <w:t xml:space="preserve">，限五处，污迹面积小于50mm</w:t>
      </w:r>
      <w:r>
        <w:rPr>
          <w:rFonts w:hint="default" w:ascii="Times New Roman" w:hAnsi="Times New Roman" w:eastAsia="宋体" w:cs="Times New Roman"/>
          <w:color w:val="auto"/>
          <w:highlight w:val="none"/>
          <w:vertAlign w:val="superscript"/>
        </w:rPr>
        <w:t xml:space="preserve">2</w:t>
      </w:r>
      <w:r>
        <w:rPr>
          <w:rFonts w:hint="default" w:ascii="Times New Roman" w:hAnsi="Times New Roman" w:eastAsia="宋体" w:cs="Times New Roman"/>
          <w:color w:val="auto"/>
          <w:highlight w:val="none"/>
        </w:rPr>
        <w:t xml:space="preserve">的不计，但不得密集。</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缝制部位返工修复残留针眼长度不得超过100mm，非缝制部位不得有残留针眼。</w:t>
      </w:r>
      <w:r/>
    </w:p>
    <w:p>
      <w:pPr>
        <w:pStyle w:val="1045"/>
        <w:numPr>
          <w:ilvl w:val="2"/>
          <w:numId w:val="10"/>
        </w:numPr>
        <w:ind w:left="0" w:firstLine="0"/>
        <w:rPr>
          <w:rFonts w:hint="default" w:ascii="Times New Roman" w:hAnsi="Times New Roman" w:cs="Times New Roman"/>
          <w:color w:val="auto"/>
          <w:highlight w:val="none"/>
        </w:rPr>
      </w:pPr>
      <w:r/>
      <w:bookmarkStart w:id="341" w:name="_Toc63651582"/>
      <w:r/>
      <w:bookmarkStart w:id="342" w:name="_Toc63652379"/>
      <w:r/>
      <w:bookmarkStart w:id="343" w:name="_Toc63650841"/>
      <w:r/>
      <w:bookmarkStart w:id="344" w:name="_Toc63651214"/>
      <w:r/>
      <w:bookmarkStart w:id="345" w:name="_Toc193103927"/>
      <w:r/>
      <w:bookmarkStart w:id="346" w:name="_Toc63484607"/>
      <w:r/>
      <w:bookmarkStart w:id="347" w:name="_Toc63651860"/>
      <w:r/>
      <w:bookmarkStart w:id="348" w:name="_Toc63652228"/>
      <w:r/>
      <w:bookmarkStart w:id="349" w:name="_Toc339004701"/>
      <w:r/>
      <w:bookmarkStart w:id="350" w:name="_Toc63583189"/>
      <w:r/>
      <w:bookmarkStart w:id="351" w:name="_Toc63652031"/>
      <w:r/>
      <w:bookmarkStart w:id="352" w:name="_Toc191462675"/>
      <w:r/>
      <w:bookmarkStart w:id="353" w:name="_Toc119817204"/>
      <w:r/>
      <w:bookmarkStart w:id="354" w:name="_Toc63672419"/>
      <w:r/>
      <w:bookmarkStart w:id="355" w:name="_Toc63652486"/>
      <w:r/>
      <w:bookmarkStart w:id="356" w:name="_Toc63652626"/>
      <w:r/>
      <w:bookmarkStart w:id="357" w:name="_Toc63650635"/>
      <w:r/>
      <w:bookmarkStart w:id="358" w:name="_Toc63583293"/>
      <w:r/>
      <w:bookmarkStart w:id="359" w:name="_Toc63652130"/>
      <w:r/>
      <w:bookmarkStart w:id="360" w:name="_Toc63651444"/>
      <w:r>
        <w:rPr>
          <w:rFonts w:hint="default" w:ascii="Times New Roman" w:hAnsi="Times New Roman" w:cs="Times New Roman"/>
          <w:color w:val="auto"/>
          <w:highlight w:val="none"/>
        </w:rPr>
        <w:t xml:space="preserve">篷体缝制</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default" w:ascii="Times New Roman" w:hAnsi="Times New Roman" w:cs="Times New Roman"/>
          <w:color w:val="auto"/>
          <w:highlight w:val="none"/>
        </w:rPr>
        <w:t xml:space="preserve">要求</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缝纫部位表面应平展、整洁、线迹直顺、针码均匀，各配件位置准确。</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缝制针码为各大片拼幅部位的明线9针/30mm～11针/30mm ，其他部位的明线8针/30mm～12针/30mm，起止针须重缝3道或4道线，长度不少于10mm。断线接头处须重缝20mm～30mm。</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拼幅采用双针机折边缝合或包复缝合两道线，水平拼接时拼缝朝下。各拼接部位不得经纬混拼。</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各缝制部位应缝制牢固，不得有开线、断线、跳线、破损、死折、皱折、返线、残留针眼、出套、毛漏、下炕（掉道、塌边）等缺陷。</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篷顶的拼接部位、缝制针眼、定位针眼等部位的内表面，需用PU胶条贴膜处理。贴膜应牢固、平整、直顺、搭接到位，不得有残留胶条、贴膜不牢、偏歪等缺陷。</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拉绳穿过拉绳木板后应系于篷顶带管三角环上。</w:t>
      </w:r>
      <w:r/>
    </w:p>
    <w:p>
      <w:pPr>
        <w:pStyle w:val="1045"/>
        <w:numPr>
          <w:ilvl w:val="2"/>
          <w:numId w:val="10"/>
        </w:numPr>
        <w:ind w:hanging="7"/>
        <w:rPr>
          <w:rFonts w:hint="default" w:ascii="Times New Roman" w:hAnsi="Times New Roman" w:cs="Times New Roman"/>
          <w:color w:val="auto"/>
          <w:highlight w:val="none"/>
        </w:rPr>
      </w:pPr>
      <w:r/>
      <w:bookmarkStart w:id="361" w:name="_Toc63652487"/>
      <w:r/>
      <w:bookmarkStart w:id="362" w:name="_Toc63652229"/>
      <w:r/>
      <w:bookmarkStart w:id="363" w:name="_Toc63651583"/>
      <w:r/>
      <w:bookmarkStart w:id="364" w:name="_Toc63583190"/>
      <w:r/>
      <w:bookmarkStart w:id="365" w:name="_Toc63651445"/>
      <w:r/>
      <w:bookmarkStart w:id="366" w:name="_Toc63651215"/>
      <w:r/>
      <w:bookmarkStart w:id="367" w:name="_Toc63652131"/>
      <w:r/>
      <w:bookmarkStart w:id="368" w:name="_Toc119817205"/>
      <w:r/>
      <w:bookmarkStart w:id="369" w:name="_Toc63651861"/>
      <w:r/>
      <w:bookmarkStart w:id="370" w:name="_Toc63650842"/>
      <w:r/>
      <w:bookmarkStart w:id="371" w:name="_Toc63650636"/>
      <w:r/>
      <w:bookmarkStart w:id="372" w:name="_Toc63583294"/>
      <w:r/>
      <w:bookmarkStart w:id="373" w:name="_Toc63652380"/>
      <w:r/>
      <w:bookmarkStart w:id="374" w:name="_Toc63652032"/>
      <w:r/>
      <w:bookmarkStart w:id="375" w:name="_Toc63672420"/>
      <w:r/>
      <w:bookmarkStart w:id="376" w:name="_Toc63652627"/>
      <w:r/>
      <w:bookmarkStart w:id="377" w:name="_Toc63484608"/>
      <w:r/>
      <w:bookmarkStart w:id="378" w:name="_Toc339004702"/>
      <w:r/>
      <w:bookmarkStart w:id="379" w:name="_Toc191462676"/>
      <w:r/>
      <w:bookmarkStart w:id="380" w:name="_Toc193103928"/>
      <w:r>
        <w:rPr>
          <w:rFonts w:hint="default" w:ascii="Times New Roman" w:hAnsi="Times New Roman" w:cs="Times New Roman"/>
          <w:color w:val="auto"/>
          <w:highlight w:val="none"/>
        </w:rPr>
        <w:t xml:space="preserve">篷体</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rFonts w:hint="default" w:ascii="Times New Roman" w:hAnsi="Times New Roman" w:cs="Times New Roman"/>
          <w:color w:val="auto"/>
          <w:highlight w:val="none"/>
        </w:rPr>
        <w:t xml:space="preserve">缝制</w:t>
      </w:r>
      <w:bookmarkEnd w:id="378"/>
      <w:r/>
      <w:bookmarkEnd w:id="379"/>
      <w:r/>
      <w:bookmarkEnd w:id="380"/>
      <w:r>
        <w:rPr>
          <w:rFonts w:hint="default" w:ascii="Times New Roman" w:hAnsi="Times New Roman" w:cs="Times New Roman"/>
          <w:color w:val="auto"/>
          <w:highlight w:val="none"/>
        </w:rPr>
        <w:t xml:space="preserve">工艺</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篷顶内面缝制宽度50 mm、涂层面向外的“十”字通筋。篷顶面四角位置有向外45°角缝制的拉绳袢，四边中心位置有垂直向外的拉绳袢。拉绳袢上缝制带管三角环，缝制方法见附录A中图A.1、图A.2。</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篷体侧墙与山墙的结合为侧墙压山墙结构，用双片拉头闭尾尼龙拉链和锦丝搭扣带连接，装配后篷体表面应平展、松紧适度。                                    </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篷檐为双层面料，宽100 mm。两侧墙篷檐距边5 mm～8 mm缝纫一道渗水线，见附录A中图A.1、图A.2。篷顶与侧墙、山墙的结合用双针机缝合，见附录A中图A.1、图A.2。侧墙、山墙上沿合大顶部位有涂层面向外的加强筋与篷顶缝合，见附录A中图A.2、图A.4、图A.6、图A.8。</w:t>
      </w:r>
      <w:r/>
    </w:p>
    <w:p>
      <w:pPr>
        <w:pStyle w:val="1048"/>
        <w:numPr>
          <w:ilvl w:val="3"/>
          <w:numId w:val="10"/>
        </w:numPr>
        <w:ind w:left="0" w:hanging="7"/>
        <w:tabs>
          <w:tab w:val="left" w:pos="0" w:leader="none"/>
          <w:tab w:val="left" w:pos="420" w:leader="none"/>
        </w:tabs>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框架与篷体侧墙的结合用捆扎带固定。篷体每个侧墙内上沿部位有四根捆扎带，立杆中间部位有两根捆扎带见附录A中图A.4。捆扎带长度以适于捆扎固定为宜。</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山墙、侧墙内下沿部位缝制100 mm宽布面朝外的加强筋。篷体与地杆的结合部位用钉缀活动三节环的束紧带固定，开门山墙缝制四个，开窗山墙缝制五个；侧墙各缝制四个，见图A.4、图A.6、图A.8。活动三节环的焊口应外露。</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窗帘左右两边竖向缝制单拉头闭尾尼龙拉链与窗口两侧缝制的拉链连接，下沿缝制锦丝搭扣带与窗帘内侧缝制的锦丝搭扣带扣合，对位应准确，见附录A中图 A.3、图A.7。</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窗纱内的中间部位缝制涂层面向外加强筋，窗纱外的中间部位缝制布面向外加强筋。窗口内有间距均匀且交叉点连接的横压竖窗格带，窗格带压缝在窗纱外侧，见附录A中图A.3。窗帘上沿外缝制三点固定袢，窗帘里对应位置缝制固定带，固定带的长度以捆扎方便为宜。见附录A中图A.3。</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三角窗有窗纱，三角窗内缝制涂层面向外的贴边和三条竖向加强筋，窗外缝制三条竖向布面向外的加强筋。三角窗外的两斜边缝制锦丝搭扣带（勾），顶角上缝制半圆环一个。三角窗外底边有固定的下开式窗帘，窗帘两斜边缝制锦丝搭扣带（圈）。三角窗帘顶端缝制穿过顶角半圆环的环形提拉带，拉带净长1.2m。三角窗帘底边中心缝制长120mm锦丝搭扣带（勾）。见附录A中图A.5、图A.7、图A.9。</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门口外两侧缝制锦丝搭扣带和双片拉头闭尾尼龙拉链，与门帘内两侧缝制的搭扣带和拉链连接，见附录A图 A.5。</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纱门帘的四边及中间部位缝制布面向外的贴边、加强筋和间距均匀连接格带，两侧用8号双片拉头闭尾尼龙拉链连接。门帘上沿外缝制两点固定袢，门帘里、纱帘里和面对应位置缝制固定带，固定带的长度以捆扎方便为宜，见附录A中图A.5、图A.10、图A.11。</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绱门帘、窗帘采用水口向下的缝制结构，见附录A中图A.3、图A.5。</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两侧墙内中间缝制涂层面向外的加强筋，侧墙两边缝制锦丝搭扣带圈面及双片拉头闭尾尼龙拉链。见附录A中图A.3、图A.4。</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拉绳应系于篷顶带管三角环上，通过拉绳木板进行调节适应长度。</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篷体下口四周需缝制宽度200mm的培土布，侧墙的培土布与山墙的培土布相互垂直。培土布外沿需折边或卷边缝制。</w:t>
      </w:r>
      <w:r/>
    </w:p>
    <w:p>
      <w:pPr>
        <w:pStyle w:val="1048"/>
        <w:numPr>
          <w:ilvl w:val="3"/>
          <w:numId w:val="10"/>
        </w:numPr>
        <w:ind w:left="0" w:hanging="7"/>
        <w:rPr>
          <w:rFonts w:hint="default" w:ascii="Times New Roman" w:hAnsi="Times New Roman" w:cs="Times New Roman"/>
          <w:color w:val="auto"/>
          <w:szCs w:val="21"/>
          <w:highlight w:val="none"/>
        </w:rPr>
      </w:pPr>
      <w:r>
        <w:rPr>
          <w:rFonts w:hint="default" w:ascii="Times New Roman" w:hAnsi="Times New Roman" w:eastAsia="宋体" w:cs="Times New Roman"/>
          <w:color w:val="auto"/>
          <w:highlight w:val="none"/>
        </w:rPr>
        <w:t xml:space="preserve">纱围两侧与侧墙的结合通过锦丝搭扣带连接，纱围上端用捆扎带与杆件连接。其纱围结构及主要尺寸见附录A中A.12，纱围里结构对应位置缝制立杆捆扎带，捆扎带的长度以捆扎方便为宜。</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门口左侧“救”字上方和帐篷两侧墙的两个窗户居中位置缝制国旗标志插袋，插袋尺寸为长475mm×宽325mm。插袋面材料采用厚0.36mmPVC透明塑料片，插袋四周应用28×4/22×1天蓝涤纶线织带包边，三面距边2mm压明线一道，插袋右侧预留开口。见附录A中图A.3、图A.5。国旗标志见附录E。</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门口右侧“灾”字上方缝制编号插袋，距门上口延长线100mm，距门口100mm。插袋面材料采用厚0.36mmPVC透明塑料片，插袋四周用28×4/22×1天蓝涤纶线织带包边。插袋尺寸为长320mm×宽240mm。三面距边2mm压明线一道，插袋右侧预留开口，见附录A中图A.5。</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在开门山墙里结构右侧门框距地1500mm处缝制空白篷体水洗标。见附录A中图A.6。水洗标要求见附录G。</w:t>
      </w:r>
      <w:r/>
    </w:p>
    <w:p>
      <w:pPr>
        <w:pStyle w:val="1045"/>
        <w:numPr>
          <w:ilvl w:val="2"/>
          <w:numId w:val="10"/>
        </w:numPr>
        <w:ind w:left="0" w:firstLine="0"/>
        <w:rPr>
          <w:rFonts w:hint="default" w:ascii="Times New Roman" w:hAnsi="Times New Roman" w:cs="Times New Roman"/>
          <w:color w:val="auto"/>
          <w:highlight w:val="none"/>
        </w:rPr>
      </w:pPr>
      <w:r/>
      <w:bookmarkStart w:id="381" w:name="_Toc63651584"/>
      <w:r/>
      <w:bookmarkStart w:id="382" w:name="_Toc339004703"/>
      <w:r/>
      <w:bookmarkStart w:id="383" w:name="_Toc63583191"/>
      <w:r/>
      <w:bookmarkStart w:id="384" w:name="_Toc63484609"/>
      <w:r/>
      <w:bookmarkStart w:id="385" w:name="_Toc63651446"/>
      <w:r/>
      <w:bookmarkStart w:id="386" w:name="_Toc63651216"/>
      <w:r/>
      <w:bookmarkStart w:id="387" w:name="_Toc63672421"/>
      <w:r/>
      <w:bookmarkStart w:id="388" w:name="_Toc63583295"/>
      <w:r/>
      <w:bookmarkStart w:id="389" w:name="_Toc63652132"/>
      <w:r/>
      <w:bookmarkStart w:id="390" w:name="_Toc63651862"/>
      <w:r/>
      <w:bookmarkStart w:id="391" w:name="_Toc63650843"/>
      <w:r/>
      <w:bookmarkStart w:id="392" w:name="_Toc63652628"/>
      <w:r/>
      <w:bookmarkStart w:id="393" w:name="_Toc119817206"/>
      <w:r/>
      <w:bookmarkStart w:id="394" w:name="_Toc193103929"/>
      <w:r/>
      <w:bookmarkStart w:id="395" w:name="_Toc63652230"/>
      <w:r/>
      <w:bookmarkStart w:id="396" w:name="_Toc63652488"/>
      <w:r/>
      <w:bookmarkStart w:id="397" w:name="_Toc63652381"/>
      <w:r/>
      <w:bookmarkStart w:id="398" w:name="_Toc63652033"/>
      <w:r/>
      <w:bookmarkStart w:id="399" w:name="_Toc63650637"/>
      <w:r/>
      <w:bookmarkStart w:id="400" w:name="_Toc191462677"/>
      <w:r>
        <w:rPr>
          <w:rFonts w:hint="default" w:ascii="Times New Roman" w:hAnsi="Times New Roman" w:cs="Times New Roman"/>
          <w:color w:val="auto"/>
          <w:highlight w:val="none"/>
        </w:rPr>
        <w:t xml:space="preserve">框架及金属配件</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各杆件连接采用三通和四通插管结构，相互插接应配合到位，见图2，中架四通和端架三通用外包PVC的钢丝拉绳穿过固定环后，用紫铜管压合固定成组合套件，紫铜管压合部位钢丝绳上的PVC包覆层必须除去，以确保压合强力。钢丝拉绳结构及主要尺寸见图2及附录B中图B.8。</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框架各杆件铝合金管两端口及弹簧卡装配孔应去除毛刺。</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框架各杆件两端装配的弹簧卡应牢固，弹簧卡装配应松紧适度。山墙地杆需配弹簧卡，立杆不配弹簧卡。</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框架各杆件表面应光洁、美观，不得有剥落、开裂、气泡、裂纹、色差等缺陷，与通件相互插接应配合到位、灵活，装配应顺畅、牢固、稳定。</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固定框喷塑前需经去毛刺、除油、除锈、磷化处理后再进行喷涂环氧树脂粉末涂料处理，颜色为灰色，漆膜应饱满、光洁、均匀、牢固，不得有露底、裂纹等缺陷。</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框架杆件各焊接部位必须满焊以焊接牢固，焊缝完整，手感光滑、形位准确。焊接处不得有漏焊、开焊、烧焦等缺陷。各焊接部位需对正平直，接触面不得有多余凸起物。</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带管三角环、弹簧卡需经电镀锌及钝化处理。三角桩为金属本色。</w:t>
      </w:r>
      <w:r/>
    </w:p>
    <w:p>
      <w:pPr>
        <w:pStyle w:val="1045"/>
        <w:numPr>
          <w:ilvl w:val="2"/>
          <w:numId w:val="10"/>
        </w:numPr>
        <w:ind w:left="0" w:firstLine="0"/>
        <w:rPr>
          <w:rFonts w:hint="default" w:ascii="Times New Roman" w:hAnsi="Times New Roman" w:cs="Times New Roman"/>
          <w:color w:val="auto"/>
          <w:highlight w:val="none"/>
        </w:rPr>
      </w:pPr>
      <w:r/>
      <w:bookmarkStart w:id="401" w:name="_Toc63652231"/>
      <w:r/>
      <w:bookmarkStart w:id="402" w:name="_Toc63652034"/>
      <w:r/>
      <w:bookmarkStart w:id="403" w:name="_Toc63650844"/>
      <w:r/>
      <w:bookmarkStart w:id="404" w:name="_Toc63651585"/>
      <w:r/>
      <w:bookmarkStart w:id="405" w:name="_Toc63583192"/>
      <w:r/>
      <w:bookmarkStart w:id="406" w:name="_Toc63652133"/>
      <w:r/>
      <w:bookmarkStart w:id="407" w:name="_Toc63672422"/>
      <w:r/>
      <w:bookmarkStart w:id="408" w:name="_Toc339004704"/>
      <w:r/>
      <w:bookmarkStart w:id="409" w:name="_Toc63484610"/>
      <w:r/>
      <w:bookmarkStart w:id="410" w:name="_Toc63651217"/>
      <w:r/>
      <w:bookmarkStart w:id="411" w:name="_Toc63651863"/>
      <w:r/>
      <w:bookmarkStart w:id="412" w:name="_Toc63583296"/>
      <w:r/>
      <w:bookmarkStart w:id="413" w:name="_Toc119817207"/>
      <w:r/>
      <w:bookmarkStart w:id="414" w:name="_Toc193103930"/>
      <w:r/>
      <w:bookmarkStart w:id="415" w:name="_Toc191462678"/>
      <w:r/>
      <w:bookmarkStart w:id="416" w:name="_Toc63650638"/>
      <w:r/>
      <w:bookmarkStart w:id="417" w:name="_Toc63651447"/>
      <w:r/>
      <w:bookmarkStart w:id="418" w:name="_Toc63652382"/>
      <w:r/>
      <w:bookmarkStart w:id="419" w:name="_Toc63652629"/>
      <w:r/>
      <w:bookmarkStart w:id="420" w:name="_Toc63652489"/>
      <w:r>
        <w:rPr>
          <w:rFonts w:hint="default" w:ascii="Times New Roman" w:hAnsi="Times New Roman" w:cs="Times New Roman"/>
          <w:color w:val="auto"/>
          <w:highlight w:val="none"/>
        </w:rPr>
        <w:t xml:space="preserve">辅料</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所有绳头、带头应热熔或浸胶处理，不得脱纱、散头。</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拉绳外观应规整、圆滑，不得有明显的扭股、裂股、脏污、油污、粗细不匀等缺陷。</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线带宽窄一致，薄厚均匀，表面整洁，不得有明显断经、乱经、稀弄、跳花、污斑等缺陷。</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拉链、锦丝搭扣带应符合表2的规定。</w:t>
      </w:r>
      <w:r/>
    </w:p>
    <w:p>
      <w:pPr>
        <w:pStyle w:val="1045"/>
        <w:numPr>
          <w:ilvl w:val="2"/>
          <w:numId w:val="10"/>
        </w:numPr>
        <w:ind w:left="0" w:firstLine="0"/>
        <w:rPr>
          <w:rFonts w:hint="default" w:ascii="Times New Roman" w:hAnsi="Times New Roman" w:cs="Times New Roman"/>
          <w:color w:val="auto"/>
          <w:highlight w:val="none"/>
        </w:rPr>
      </w:pPr>
      <w:r/>
      <w:bookmarkStart w:id="421" w:name="_Toc191462679"/>
      <w:r/>
      <w:bookmarkStart w:id="422" w:name="_Toc63652134"/>
      <w:r/>
      <w:bookmarkStart w:id="423" w:name="_Toc63650845"/>
      <w:r/>
      <w:bookmarkStart w:id="424" w:name="_Toc63652383"/>
      <w:r/>
      <w:bookmarkStart w:id="425" w:name="_Toc63652232"/>
      <w:r/>
      <w:bookmarkStart w:id="426" w:name="_Toc63583193"/>
      <w:r/>
      <w:bookmarkStart w:id="427" w:name="_Toc119817208"/>
      <w:r/>
      <w:bookmarkStart w:id="428" w:name="_Toc63672423"/>
      <w:r/>
      <w:bookmarkStart w:id="429" w:name="_Toc339004705"/>
      <w:r/>
      <w:bookmarkStart w:id="430" w:name="_Toc63650639"/>
      <w:r/>
      <w:bookmarkStart w:id="431" w:name="_Toc63484611"/>
      <w:r/>
      <w:bookmarkStart w:id="432" w:name="_Toc63652630"/>
      <w:r/>
      <w:bookmarkStart w:id="433" w:name="_Toc63651448"/>
      <w:r/>
      <w:bookmarkStart w:id="434" w:name="_Toc63652490"/>
      <w:r/>
      <w:bookmarkStart w:id="435" w:name="_Toc63583297"/>
      <w:r/>
      <w:bookmarkStart w:id="436" w:name="_Toc63651586"/>
      <w:r/>
      <w:bookmarkStart w:id="437" w:name="_Toc63652035"/>
      <w:r/>
      <w:bookmarkStart w:id="438" w:name="_Toc63651864"/>
      <w:r/>
      <w:bookmarkStart w:id="439" w:name="_Toc63651218"/>
      <w:r/>
      <w:bookmarkStart w:id="440" w:name="_Toc193103931"/>
      <w:r>
        <w:rPr>
          <w:rFonts w:hint="default" w:ascii="Times New Roman" w:hAnsi="Times New Roman" w:cs="Times New Roman"/>
          <w:color w:val="auto"/>
          <w:highlight w:val="none"/>
        </w:rPr>
        <w:t xml:space="preserve">理化性能</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篷体材料织物组织、规格及性能指标要求应符合附录J的规定。</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包装袋材料规格及性能指标要求应符合附录L的规定。</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铝合金管性能要求应符合附录M的规定。</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涤纶网眼布技术要求应符合表2的规定。</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框架喷塑件及电镀锌配件的性能应符合表3的规定。</w:t>
      </w:r>
      <w:r/>
    </w:p>
    <w:p>
      <w:pPr>
        <w:pStyle w:val="1047"/>
        <w:numPr>
          <w:ilvl w:val="0"/>
          <w:numId w:val="0"/>
        </w:numPr>
        <w:spacing w:before="156" w:after="156"/>
        <w:rPr>
          <w:rFonts w:hint="default" w:ascii="Times New Roman" w:hAnsi="Times New Roman" w:cs="Times New Roman"/>
          <w:color w:val="auto"/>
          <w:highlight w:val="none"/>
        </w:rPr>
      </w:pPr>
      <w:r/>
      <w:bookmarkStart w:id="441" w:name="_Toc418769750"/>
      <w:r/>
      <w:bookmarkStart w:id="442" w:name="_Toc28212"/>
      <w:r/>
      <w:bookmarkStart w:id="443" w:name="_Toc18204"/>
      <w:r/>
      <w:bookmarkStart w:id="444" w:name="_Toc418767537"/>
      <w:r>
        <w:rPr>
          <w:rFonts w:hint="default" w:ascii="Times New Roman" w:hAnsi="Times New Roman" w:cs="Times New Roman"/>
          <w:color w:val="auto"/>
          <w:highlight w:val="none"/>
        </w:rPr>
        <w:t xml:space="preserve">表3  喷塑件及金属配件性能</w:t>
      </w:r>
      <w:bookmarkEnd w:id="441"/>
      <w:r/>
      <w:bookmarkEnd w:id="442"/>
      <w:r/>
      <w:bookmarkEnd w:id="443"/>
      <w:r/>
      <w:bookmarkEnd w:id="444"/>
      <w:r>
        <w:rPr>
          <w:rFonts w:hint="default" w:ascii="Times New Roman" w:hAnsi="Times New Roman" w:cs="Times New Roman"/>
          <w:color w:val="auto"/>
          <w:highlight w:val="none"/>
        </w:rPr>
        <w:t xml:space="preserve">要求</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7"/>
        <w:gridCol w:w="1351"/>
        <w:gridCol w:w="1501"/>
        <w:gridCol w:w="4477"/>
      </w:tblGrid>
      <w:tr>
        <w:trPr>
          <w:cantSplit/>
          <w:jc w:val="center"/>
          <w:trHeight w:val="340"/>
        </w:trPr>
        <w:tc>
          <w:tcPr>
            <w:tcBorders>
              <w:top w:val="single" w:color="auto" w:sz="12" w:space="0"/>
              <w:bottom w:val="single" w:color="auto" w:sz="12" w:space="0"/>
              <w:right w:val="single" w:color="auto" w:sz="12" w:space="0"/>
            </w:tcBorders>
            <w:tcW w:w="104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45" w:name="_Toc17687"/>
            <w:r>
              <w:rPr>
                <w:rFonts w:ascii="宋体" w:hAnsi="宋体" w:cs="宋体"/>
              </w:rPr>
            </w:r>
            <w:bookmarkStart w:id="446" w:name="_Toc49119857"/>
            <w:r>
              <w:rPr>
                <w:rFonts w:ascii="宋体" w:hAnsi="宋体" w:cs="宋体"/>
              </w:rPr>
            </w:r>
            <w:bookmarkStart w:id="447" w:name="_Toc49033509"/>
            <w:r>
              <w:rPr>
                <w:rFonts w:ascii="宋体" w:hAnsi="宋体" w:cs="宋体"/>
              </w:rPr>
            </w:r>
            <w:bookmarkStart w:id="448" w:name="_Toc418769751"/>
            <w:r>
              <w:rPr>
                <w:rFonts w:ascii="宋体" w:hAnsi="宋体" w:cs="宋体"/>
              </w:rPr>
            </w:r>
            <w:bookmarkStart w:id="449" w:name="_Toc3263"/>
            <w:r>
              <w:rPr>
                <w:rFonts w:ascii="宋体" w:hAnsi="宋体" w:cs="宋体"/>
              </w:rPr>
            </w:r>
            <w:bookmarkStart w:id="450" w:name="_Toc49092031"/>
            <w:r>
              <w:rPr>
                <w:rFonts w:ascii="宋体" w:hAnsi="宋体" w:cs="宋体"/>
              </w:rPr>
            </w:r>
            <w:bookmarkStart w:id="451" w:name="_Toc49032417"/>
            <w:r>
              <w:rPr>
                <w:rFonts w:ascii="宋体" w:hAnsi="宋体" w:cs="宋体"/>
              </w:rPr>
            </w:r>
            <w:bookmarkStart w:id="452" w:name="_Toc418767538"/>
            <w:r>
              <w:rPr>
                <w:rFonts w:hint="default" w:ascii="宋体" w:hAnsi="宋体" w:eastAsia="宋体" w:cs="宋体"/>
                <w:color w:val="auto"/>
                <w:sz w:val="18"/>
                <w:szCs w:val="24"/>
                <w:highlight w:val="none"/>
              </w:rPr>
              <w:t xml:space="preserve">部   件  名  称</w:t>
            </w:r>
            <w:bookmarkEnd w:id="445"/>
            <w:r>
              <w:rPr>
                <w:rFonts w:ascii="宋体" w:hAnsi="宋体" w:cs="宋体"/>
              </w:rPr>
            </w:r>
            <w:bookmarkEnd w:id="446"/>
            <w:r>
              <w:rPr>
                <w:rFonts w:ascii="宋体" w:hAnsi="宋体" w:cs="宋体"/>
              </w:rPr>
            </w:r>
            <w:bookmarkEnd w:id="447"/>
            <w:r>
              <w:rPr>
                <w:rFonts w:ascii="宋体" w:hAnsi="宋体" w:cs="宋体"/>
              </w:rPr>
            </w:r>
            <w:bookmarkEnd w:id="448"/>
            <w:r>
              <w:rPr>
                <w:rFonts w:ascii="宋体" w:hAnsi="宋体" w:cs="宋体"/>
              </w:rPr>
            </w:r>
            <w:bookmarkEnd w:id="449"/>
            <w:r>
              <w:rPr>
                <w:rFonts w:ascii="宋体" w:hAnsi="宋体" w:cs="宋体"/>
              </w:rPr>
            </w:r>
            <w:bookmarkEnd w:id="450"/>
            <w:r>
              <w:rPr>
                <w:rFonts w:ascii="宋体" w:hAnsi="宋体" w:cs="宋体"/>
              </w:rPr>
            </w:r>
            <w:bookmarkEnd w:id="451"/>
            <w:r>
              <w:rPr>
                <w:rFonts w:ascii="宋体" w:hAnsi="宋体" w:cs="宋体"/>
              </w:rPr>
            </w:r>
            <w:bookmarkEnd w:id="452"/>
            <w:r>
              <w:rPr>
                <w:rFonts w:ascii="宋体" w:hAnsi="宋体" w:cs="宋体"/>
              </w:rPr>
            </w:r>
            <w:r/>
          </w:p>
        </w:tc>
        <w:tc>
          <w:tcPr>
            <w:gridSpan w:val="2"/>
            <w:tcBorders>
              <w:top w:val="single" w:color="auto" w:sz="12" w:space="0"/>
              <w:left w:val="single" w:color="auto" w:sz="12" w:space="0"/>
              <w:bottom w:val="single" w:color="auto" w:sz="12" w:space="0"/>
              <w:right w:val="single" w:color="auto" w:sz="12" w:space="0"/>
            </w:tcBorders>
            <w:tcW w:w="154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53" w:name="_Toc49092032"/>
            <w:r>
              <w:rPr>
                <w:rFonts w:ascii="宋体" w:hAnsi="宋体" w:cs="宋体"/>
              </w:rPr>
            </w:r>
            <w:bookmarkStart w:id="454" w:name="_Toc16069"/>
            <w:r>
              <w:rPr>
                <w:rFonts w:ascii="宋体" w:hAnsi="宋体" w:cs="宋体"/>
              </w:rPr>
            </w:r>
            <w:bookmarkStart w:id="455" w:name="_Toc49033510"/>
            <w:r>
              <w:rPr>
                <w:rFonts w:ascii="宋体" w:hAnsi="宋体" w:cs="宋体"/>
              </w:rPr>
            </w:r>
            <w:bookmarkStart w:id="456" w:name="_Toc418767539"/>
            <w:r>
              <w:rPr>
                <w:rFonts w:ascii="宋体" w:hAnsi="宋体" w:cs="宋体"/>
              </w:rPr>
            </w:r>
            <w:bookmarkStart w:id="457" w:name="_Toc418769752"/>
            <w:r>
              <w:rPr>
                <w:rFonts w:ascii="宋体" w:hAnsi="宋体" w:cs="宋体"/>
              </w:rPr>
            </w:r>
            <w:bookmarkStart w:id="458" w:name="_Toc49032418"/>
            <w:r>
              <w:rPr>
                <w:rFonts w:ascii="宋体" w:hAnsi="宋体" w:cs="宋体"/>
              </w:rPr>
            </w:r>
            <w:bookmarkStart w:id="459" w:name="_Toc21369"/>
            <w:r>
              <w:rPr>
                <w:rFonts w:ascii="宋体" w:hAnsi="宋体" w:cs="宋体"/>
              </w:rPr>
            </w:r>
            <w:bookmarkStart w:id="460" w:name="_Toc49119858"/>
            <w:r>
              <w:rPr>
                <w:rFonts w:hint="default" w:ascii="宋体" w:hAnsi="宋体" w:eastAsia="宋体" w:cs="宋体"/>
                <w:color w:val="auto"/>
                <w:sz w:val="18"/>
                <w:szCs w:val="24"/>
                <w:highlight w:val="none"/>
              </w:rPr>
              <w:t xml:space="preserve">项     目</w:t>
            </w:r>
            <w:bookmarkEnd w:id="453"/>
            <w:r>
              <w:rPr>
                <w:rFonts w:ascii="宋体" w:hAnsi="宋体" w:cs="宋体"/>
              </w:rPr>
            </w:r>
            <w:bookmarkEnd w:id="454"/>
            <w:r>
              <w:rPr>
                <w:rFonts w:ascii="宋体" w:hAnsi="宋体" w:cs="宋体"/>
              </w:rPr>
            </w:r>
            <w:bookmarkEnd w:id="455"/>
            <w:r>
              <w:rPr>
                <w:rFonts w:ascii="宋体" w:hAnsi="宋体" w:cs="宋体"/>
              </w:rPr>
            </w:r>
            <w:bookmarkEnd w:id="456"/>
            <w:r>
              <w:rPr>
                <w:rFonts w:ascii="宋体" w:hAnsi="宋体" w:cs="宋体"/>
              </w:rPr>
            </w:r>
            <w:bookmarkEnd w:id="457"/>
            <w:r>
              <w:rPr>
                <w:rFonts w:ascii="宋体" w:hAnsi="宋体" w:cs="宋体"/>
              </w:rPr>
            </w:r>
            <w:bookmarkEnd w:id="458"/>
            <w:r>
              <w:rPr>
                <w:rFonts w:ascii="宋体" w:hAnsi="宋体" w:cs="宋体"/>
              </w:rPr>
            </w:r>
            <w:bookmarkEnd w:id="459"/>
            <w:r>
              <w:rPr>
                <w:rFonts w:ascii="宋体" w:hAnsi="宋体" w:cs="宋体"/>
              </w:rPr>
            </w:r>
            <w:bookmarkEnd w:id="460"/>
            <w:r>
              <w:rPr>
                <w:rFonts w:ascii="宋体" w:hAnsi="宋体" w:cs="宋体"/>
              </w:rPr>
            </w:r>
            <w:r/>
          </w:p>
        </w:tc>
        <w:tc>
          <w:tcPr>
            <w:tcBorders>
              <w:top w:val="single" w:color="auto" w:sz="12" w:space="0"/>
              <w:left w:val="single" w:color="auto" w:sz="12" w:space="0"/>
              <w:bottom w:val="single" w:color="auto" w:sz="12" w:space="0"/>
            </w:tcBorders>
            <w:tcW w:w="2418"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61" w:name="_Toc49092033"/>
            <w:r>
              <w:rPr>
                <w:rFonts w:ascii="宋体" w:hAnsi="宋体" w:cs="宋体"/>
              </w:rPr>
            </w:r>
            <w:bookmarkStart w:id="462" w:name="_Toc49119859"/>
            <w:r>
              <w:rPr>
                <w:rFonts w:ascii="宋体" w:hAnsi="宋体" w:cs="宋体"/>
              </w:rPr>
            </w:r>
            <w:bookmarkStart w:id="463" w:name="_Toc49033511"/>
            <w:r>
              <w:rPr>
                <w:rFonts w:ascii="宋体" w:hAnsi="宋体" w:cs="宋体"/>
              </w:rPr>
            </w:r>
            <w:bookmarkStart w:id="464" w:name="_Toc418769753"/>
            <w:r>
              <w:rPr>
                <w:rFonts w:ascii="宋体" w:hAnsi="宋体" w:cs="宋体"/>
              </w:rPr>
            </w:r>
            <w:bookmarkStart w:id="465" w:name="_Toc6485"/>
            <w:r>
              <w:rPr>
                <w:rFonts w:ascii="宋体" w:hAnsi="宋体" w:cs="宋体"/>
              </w:rPr>
            </w:r>
            <w:bookmarkStart w:id="466" w:name="_Toc49032419"/>
            <w:r>
              <w:rPr>
                <w:rFonts w:ascii="宋体" w:hAnsi="宋体" w:cs="宋体"/>
              </w:rPr>
            </w:r>
            <w:bookmarkStart w:id="467" w:name="_Toc20002"/>
            <w:r>
              <w:rPr>
                <w:rFonts w:ascii="宋体" w:hAnsi="宋体" w:cs="宋体"/>
              </w:rPr>
            </w:r>
            <w:bookmarkStart w:id="468" w:name="_Toc418767540"/>
            <w:r>
              <w:rPr>
                <w:rFonts w:hint="default" w:ascii="宋体" w:hAnsi="宋体" w:eastAsia="宋体" w:cs="宋体"/>
                <w:color w:val="auto"/>
                <w:sz w:val="18"/>
                <w:szCs w:val="24"/>
                <w:highlight w:val="none"/>
              </w:rPr>
              <w:t xml:space="preserve">指      标</w:t>
            </w:r>
            <w:bookmarkEnd w:id="461"/>
            <w:r>
              <w:rPr>
                <w:rFonts w:ascii="宋体" w:hAnsi="宋体" w:cs="宋体"/>
              </w:rPr>
            </w:r>
            <w:bookmarkEnd w:id="462"/>
            <w:r>
              <w:rPr>
                <w:rFonts w:ascii="宋体" w:hAnsi="宋体" w:cs="宋体"/>
              </w:rPr>
            </w:r>
            <w:bookmarkEnd w:id="463"/>
            <w:r>
              <w:rPr>
                <w:rFonts w:ascii="宋体" w:hAnsi="宋体" w:cs="宋体"/>
              </w:rPr>
            </w:r>
            <w:bookmarkEnd w:id="464"/>
            <w:r>
              <w:rPr>
                <w:rFonts w:ascii="宋体" w:hAnsi="宋体" w:cs="宋体"/>
              </w:rPr>
            </w:r>
            <w:bookmarkEnd w:id="465"/>
            <w:r>
              <w:rPr>
                <w:rFonts w:ascii="宋体" w:hAnsi="宋体" w:cs="宋体"/>
              </w:rPr>
            </w:r>
            <w:bookmarkEnd w:id="466"/>
            <w:r>
              <w:rPr>
                <w:rFonts w:ascii="宋体" w:hAnsi="宋体" w:cs="宋体"/>
              </w:rPr>
            </w:r>
            <w:bookmarkEnd w:id="467"/>
            <w:r>
              <w:rPr>
                <w:rFonts w:ascii="宋体" w:hAnsi="宋体" w:cs="宋体"/>
              </w:rPr>
            </w:r>
            <w:bookmarkEnd w:id="468"/>
            <w:r>
              <w:rPr>
                <w:rFonts w:ascii="宋体" w:hAnsi="宋体" w:cs="宋体"/>
              </w:rPr>
            </w:r>
            <w:r/>
          </w:p>
        </w:tc>
      </w:tr>
      <w:tr>
        <w:trPr>
          <w:cantSplit/>
          <w:jc w:val="center"/>
          <w:trHeight w:val="340"/>
        </w:trPr>
        <w:tc>
          <w:tcPr>
            <w:tcBorders>
              <w:top w:val="single" w:color="auto" w:sz="12" w:space="0"/>
              <w:right w:val="single" w:color="auto" w:sz="12" w:space="0"/>
            </w:tcBorders>
            <w:tcW w:w="1041" w:type="pct"/>
            <w:vAlign w:val="center"/>
            <w:vMerge w:val="restart"/>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69" w:name="_Toc49092034"/>
            <w:r>
              <w:rPr>
                <w:rFonts w:ascii="宋体" w:hAnsi="宋体" w:cs="宋体"/>
              </w:rPr>
            </w:r>
            <w:bookmarkStart w:id="470" w:name="_Toc49032420"/>
            <w:r>
              <w:rPr>
                <w:rFonts w:ascii="宋体" w:hAnsi="宋体" w:cs="宋体"/>
              </w:rPr>
            </w:r>
            <w:bookmarkStart w:id="471" w:name="_Toc49119860"/>
            <w:r>
              <w:rPr>
                <w:rFonts w:ascii="宋体" w:hAnsi="宋体" w:cs="宋体"/>
              </w:rPr>
            </w:r>
            <w:bookmarkStart w:id="472" w:name="_Toc49033512"/>
            <w:r>
              <w:rPr>
                <w:rFonts w:hint="default" w:ascii="宋体" w:hAnsi="宋体" w:eastAsia="宋体" w:cs="宋体"/>
                <w:color w:val="auto"/>
                <w:sz w:val="18"/>
                <w:szCs w:val="24"/>
                <w:highlight w:val="none"/>
              </w:rPr>
              <w:t xml:space="preserve">喷塑件</w:t>
            </w:r>
            <w:bookmarkEnd w:id="469"/>
            <w:r>
              <w:rPr>
                <w:rFonts w:ascii="宋体" w:hAnsi="宋体" w:cs="宋体"/>
              </w:rPr>
            </w:r>
            <w:bookmarkEnd w:id="470"/>
            <w:r>
              <w:rPr>
                <w:rFonts w:ascii="宋体" w:hAnsi="宋体" w:cs="宋体"/>
              </w:rPr>
            </w:r>
            <w:bookmarkEnd w:id="471"/>
            <w:r>
              <w:rPr>
                <w:rFonts w:ascii="宋体" w:hAnsi="宋体" w:cs="宋体"/>
              </w:rPr>
            </w:r>
            <w:bookmarkEnd w:id="472"/>
            <w:r>
              <w:rPr>
                <w:rFonts w:ascii="宋体" w:hAnsi="宋体" w:cs="宋体"/>
              </w:rPr>
            </w:r>
            <w:r/>
          </w:p>
        </w:tc>
        <w:tc>
          <w:tcPr>
            <w:tcBorders>
              <w:top w:val="single" w:color="auto" w:sz="12" w:space="0"/>
              <w:left w:val="single" w:color="auto" w:sz="12" w:space="0"/>
              <w:right w:val="single" w:color="auto" w:sz="12" w:space="0"/>
            </w:tcBorders>
            <w:tcW w:w="730" w:type="pct"/>
            <w:vAlign w:val="center"/>
            <w:vMerge w:val="restart"/>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73" w:name="_Toc49033513"/>
            <w:r>
              <w:rPr>
                <w:rFonts w:ascii="宋体" w:hAnsi="宋体" w:cs="宋体"/>
              </w:rPr>
            </w:r>
            <w:bookmarkStart w:id="474" w:name="_Toc49119861"/>
            <w:r>
              <w:rPr>
                <w:rFonts w:ascii="宋体" w:hAnsi="宋体" w:cs="宋体"/>
              </w:rPr>
            </w:r>
            <w:bookmarkStart w:id="475" w:name="_Toc49092035"/>
            <w:r>
              <w:rPr>
                <w:rFonts w:ascii="宋体" w:hAnsi="宋体" w:cs="宋体"/>
              </w:rPr>
            </w:r>
            <w:bookmarkStart w:id="476" w:name="_Toc49032421"/>
            <w:r>
              <w:rPr>
                <w:rFonts w:hint="default" w:ascii="宋体" w:hAnsi="宋体" w:eastAsia="宋体" w:cs="宋体"/>
                <w:color w:val="auto"/>
                <w:sz w:val="18"/>
                <w:szCs w:val="24"/>
                <w:highlight w:val="none"/>
              </w:rPr>
              <w:t xml:space="preserve">规格，mm</w:t>
            </w:r>
            <w:bookmarkEnd w:id="473"/>
            <w:r>
              <w:rPr>
                <w:rFonts w:ascii="宋体" w:hAnsi="宋体" w:cs="宋体"/>
              </w:rPr>
            </w:r>
            <w:bookmarkEnd w:id="474"/>
            <w:r>
              <w:rPr>
                <w:rFonts w:ascii="宋体" w:hAnsi="宋体" w:cs="宋体"/>
              </w:rPr>
            </w:r>
            <w:bookmarkEnd w:id="475"/>
            <w:r>
              <w:rPr>
                <w:rFonts w:ascii="宋体" w:hAnsi="宋体" w:cs="宋体"/>
              </w:rPr>
            </w:r>
            <w:bookmarkEnd w:id="476"/>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1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77" w:name="_Toc49032422"/>
            <w:r>
              <w:rPr>
                <w:rFonts w:ascii="宋体" w:hAnsi="宋体" w:cs="宋体"/>
              </w:rPr>
            </w:r>
            <w:bookmarkStart w:id="478" w:name="_Toc49092036"/>
            <w:r>
              <w:rPr>
                <w:rFonts w:ascii="宋体" w:hAnsi="宋体" w:cs="宋体"/>
              </w:rPr>
            </w:r>
            <w:bookmarkStart w:id="479" w:name="_Toc49033514"/>
            <w:r>
              <w:rPr>
                <w:rFonts w:ascii="宋体" w:hAnsi="宋体" w:cs="宋体"/>
              </w:rPr>
            </w:r>
            <w:bookmarkStart w:id="480" w:name="_Toc49119862"/>
            <w:r>
              <w:rPr>
                <w:rFonts w:hint="default" w:ascii="宋体" w:hAnsi="宋体" w:eastAsia="宋体" w:cs="宋体"/>
                <w:color w:val="auto"/>
                <w:sz w:val="18"/>
                <w:szCs w:val="24"/>
                <w:highlight w:val="none"/>
              </w:rPr>
              <w:t xml:space="preserve">外径</w:t>
            </w:r>
            <w:bookmarkEnd w:id="477"/>
            <w:r>
              <w:rPr>
                <w:rFonts w:ascii="宋体" w:hAnsi="宋体" w:cs="宋体"/>
              </w:rPr>
            </w:r>
            <w:bookmarkEnd w:id="478"/>
            <w:r>
              <w:rPr>
                <w:rFonts w:ascii="宋体" w:hAnsi="宋体" w:cs="宋体"/>
              </w:rPr>
            </w:r>
            <w:bookmarkEnd w:id="479"/>
            <w:r>
              <w:rPr>
                <w:rFonts w:ascii="宋体" w:hAnsi="宋体" w:cs="宋体"/>
              </w:rPr>
            </w:r>
            <w:bookmarkEnd w:id="480"/>
            <w:r>
              <w:rPr>
                <w:rFonts w:ascii="宋体" w:hAnsi="宋体" w:cs="宋体"/>
              </w:rPr>
            </w:r>
            <w:r/>
          </w:p>
        </w:tc>
        <w:tc>
          <w:tcPr>
            <w:tcBorders>
              <w:top w:val="single" w:color="auto" w:sz="12" w:space="0"/>
              <w:left w:val="single" w:color="auto" w:sz="12" w:space="0"/>
              <w:bottom w:val="single" w:color="auto" w:sz="12" w:space="0"/>
            </w:tcBorders>
            <w:tcW w:w="2418"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81" w:name="_Toc49092037"/>
            <w:r>
              <w:rPr>
                <w:rFonts w:ascii="宋体" w:hAnsi="宋体" w:cs="宋体"/>
              </w:rPr>
            </w:r>
            <w:bookmarkStart w:id="482" w:name="_Toc49119863"/>
            <w:r>
              <w:rPr>
                <w:rFonts w:ascii="宋体" w:hAnsi="宋体" w:cs="宋体"/>
              </w:rPr>
            </w:r>
            <w:bookmarkStart w:id="483" w:name="_Toc49033515"/>
            <w:r>
              <w:rPr>
                <w:rFonts w:ascii="宋体" w:hAnsi="宋体" w:cs="宋体"/>
              </w:rPr>
            </w:r>
            <w:bookmarkStart w:id="484" w:name="_Toc49032423"/>
            <w:r>
              <w:rPr>
                <w:rFonts w:hint="default" w:ascii="宋体" w:hAnsi="宋体" w:eastAsia="仿宋" w:cs="宋体"/>
                <w:color w:val="auto"/>
                <w:sz w:val="18"/>
                <w:szCs w:val="24"/>
                <w:highlight w:val="none"/>
              </w:rPr>
              <w:t xml:space="preserve">28±0.40</w:t>
            </w:r>
            <w:bookmarkEnd w:id="481"/>
            <w:r>
              <w:rPr>
                <w:rFonts w:ascii="宋体" w:hAnsi="宋体" w:cs="宋体"/>
              </w:rPr>
            </w:r>
            <w:bookmarkEnd w:id="482"/>
            <w:r>
              <w:rPr>
                <w:rFonts w:ascii="宋体" w:hAnsi="宋体" w:cs="宋体"/>
              </w:rPr>
            </w:r>
            <w:bookmarkEnd w:id="483"/>
            <w:r>
              <w:rPr>
                <w:rFonts w:ascii="宋体" w:hAnsi="宋体" w:cs="宋体"/>
              </w:rPr>
            </w:r>
            <w:bookmarkEnd w:id="484"/>
            <w:r>
              <w:rPr>
                <w:rFonts w:ascii="宋体" w:hAnsi="宋体" w:cs="宋体"/>
              </w:rPr>
            </w:r>
            <w:r/>
          </w:p>
        </w:tc>
      </w:tr>
      <w:tr>
        <w:trPr>
          <w:cantSplit/>
          <w:jc w:val="center"/>
          <w:trHeight w:val="340"/>
        </w:trPr>
        <w:tc>
          <w:tcPr>
            <w:tcBorders>
              <w:top w:val="single" w:color="auto" w:sz="12" w:space="0"/>
              <w:right w:val="single" w:color="auto" w:sz="12" w:space="0"/>
            </w:tcBorders>
            <w:tcW w:w="1041"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24"/>
                <w:highlight w:val="none"/>
              </w:rPr>
            </w:pPr>
            <w:r>
              <w:rPr>
                <w:rFonts w:hint="default" w:ascii="Times New Roman" w:hAnsi="Times New Roman" w:eastAsia="仿宋" w:cs="Times New Roman"/>
                <w:color w:val="auto"/>
                <w:sz w:val="18"/>
                <w:szCs w:val="24"/>
                <w:highlight w:val="none"/>
              </w:rPr>
            </w:r>
            <w:r/>
          </w:p>
        </w:tc>
        <w:tc>
          <w:tcPr>
            <w:tcBorders>
              <w:left w:val="single" w:color="auto" w:sz="12" w:space="0"/>
              <w:bottom w:val="single" w:color="auto" w:sz="12" w:space="0"/>
              <w:right w:val="single" w:color="auto" w:sz="12" w:space="0"/>
            </w:tcBorders>
            <w:tcW w:w="730"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24"/>
                <w:highlight w:val="none"/>
              </w:rPr>
            </w:pPr>
            <w:r>
              <w:rPr>
                <w:rFonts w:hint="default" w:ascii="Times New Roman" w:hAnsi="Times New Roman" w:eastAsia="仿宋" w:cs="Times New Roman"/>
                <w:color w:val="auto"/>
                <w:sz w:val="18"/>
                <w:szCs w:val="24"/>
                <w:highlight w:val="none"/>
              </w:rPr>
            </w:r>
            <w:r/>
          </w:p>
        </w:tc>
        <w:tc>
          <w:tcPr>
            <w:tcBorders>
              <w:top w:val="single" w:color="auto" w:sz="12" w:space="0"/>
              <w:left w:val="single" w:color="auto" w:sz="12" w:space="0"/>
              <w:bottom w:val="single" w:color="auto" w:sz="12" w:space="0"/>
              <w:right w:val="single" w:color="auto" w:sz="12" w:space="0"/>
            </w:tcBorders>
            <w:tcW w:w="81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85" w:name="_Toc49092038"/>
            <w:r>
              <w:rPr>
                <w:rFonts w:ascii="宋体" w:hAnsi="宋体" w:cs="宋体"/>
              </w:rPr>
            </w:r>
            <w:bookmarkStart w:id="486" w:name="_Toc49119864"/>
            <w:r>
              <w:rPr>
                <w:rFonts w:ascii="宋体" w:hAnsi="宋体" w:cs="宋体"/>
              </w:rPr>
            </w:r>
            <w:bookmarkStart w:id="487" w:name="_Toc49033516"/>
            <w:r>
              <w:rPr>
                <w:rFonts w:ascii="宋体" w:hAnsi="宋体" w:cs="宋体"/>
              </w:rPr>
            </w:r>
            <w:bookmarkStart w:id="488" w:name="_Toc49032424"/>
            <w:r>
              <w:rPr>
                <w:rFonts w:hint="default" w:ascii="宋体" w:hAnsi="宋体" w:eastAsia="宋体" w:cs="宋体"/>
                <w:color w:val="auto"/>
                <w:sz w:val="18"/>
                <w:szCs w:val="24"/>
                <w:highlight w:val="none"/>
              </w:rPr>
              <w:t xml:space="preserve">壁厚</w:t>
            </w:r>
            <w:bookmarkEnd w:id="485"/>
            <w:r>
              <w:rPr>
                <w:rFonts w:ascii="宋体" w:hAnsi="宋体" w:cs="宋体"/>
              </w:rPr>
            </w:r>
            <w:bookmarkEnd w:id="486"/>
            <w:r>
              <w:rPr>
                <w:rFonts w:ascii="宋体" w:hAnsi="宋体" w:cs="宋体"/>
              </w:rPr>
            </w:r>
            <w:bookmarkEnd w:id="487"/>
            <w:r>
              <w:rPr>
                <w:rFonts w:ascii="宋体" w:hAnsi="宋体" w:cs="宋体"/>
              </w:rPr>
            </w:r>
            <w:bookmarkEnd w:id="488"/>
            <w:r>
              <w:rPr>
                <w:rFonts w:ascii="宋体" w:hAnsi="宋体" w:cs="宋体"/>
              </w:rPr>
            </w:r>
            <w:r/>
          </w:p>
        </w:tc>
        <w:tc>
          <w:tcPr>
            <w:tcBorders>
              <w:top w:val="none" w:color="000000" w:sz="4" w:space="0"/>
              <w:left w:val="single" w:color="auto" w:sz="12" w:space="0"/>
              <w:bottom w:val="single" w:color="auto" w:sz="12" w:space="0"/>
            </w:tcBorders>
            <w:tcW w:w="2418"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89" w:name="_Toc49092039"/>
            <w:r>
              <w:rPr>
                <w:rFonts w:ascii="宋体" w:hAnsi="宋体" w:cs="宋体"/>
              </w:rPr>
            </w:r>
            <w:bookmarkStart w:id="490" w:name="_Toc49032425"/>
            <w:r>
              <w:rPr>
                <w:rFonts w:ascii="宋体" w:hAnsi="宋体" w:cs="宋体"/>
              </w:rPr>
            </w:r>
            <w:bookmarkStart w:id="491" w:name="_Toc49033517"/>
            <w:r>
              <w:rPr>
                <w:rFonts w:ascii="宋体" w:hAnsi="宋体" w:cs="宋体"/>
              </w:rPr>
            </w:r>
            <w:bookmarkStart w:id="492" w:name="_Toc49119865"/>
            <w:r>
              <w:rPr>
                <w:rFonts w:hint="default" w:ascii="宋体" w:hAnsi="宋体" w:eastAsia="仿宋" w:cs="宋体"/>
                <w:color w:val="auto"/>
                <w:sz w:val="18"/>
                <w:szCs w:val="24"/>
                <w:highlight w:val="none"/>
              </w:rPr>
              <w:t xml:space="preserve">1.0±0.10</w:t>
            </w:r>
            <w:bookmarkEnd w:id="489"/>
            <w:r>
              <w:rPr>
                <w:rFonts w:ascii="宋体" w:hAnsi="宋体" w:cs="宋体"/>
              </w:rPr>
            </w:r>
            <w:bookmarkEnd w:id="490"/>
            <w:r>
              <w:rPr>
                <w:rFonts w:ascii="宋体" w:hAnsi="宋体" w:cs="宋体"/>
              </w:rPr>
            </w:r>
            <w:bookmarkEnd w:id="491"/>
            <w:r>
              <w:rPr>
                <w:rFonts w:ascii="宋体" w:hAnsi="宋体" w:cs="宋体"/>
              </w:rPr>
            </w:r>
            <w:bookmarkEnd w:id="492"/>
            <w:r>
              <w:rPr>
                <w:rFonts w:ascii="宋体" w:hAnsi="宋体" w:cs="宋体"/>
              </w:rPr>
            </w:r>
            <w:r/>
          </w:p>
        </w:tc>
      </w:tr>
      <w:tr>
        <w:trPr>
          <w:cantSplit/>
          <w:jc w:val="center"/>
          <w:trHeight w:val="340"/>
        </w:trPr>
        <w:tc>
          <w:tcPr>
            <w:tcBorders>
              <w:bottom w:val="single" w:color="auto" w:sz="12" w:space="0"/>
              <w:right w:val="single" w:color="auto" w:sz="12" w:space="0"/>
            </w:tcBorders>
            <w:tcW w:w="1041"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24"/>
                <w:highlight w:val="none"/>
              </w:rPr>
            </w:pPr>
            <w:r>
              <w:rPr>
                <w:rFonts w:hint="default" w:ascii="Times New Roman" w:hAnsi="Times New Roman" w:eastAsia="仿宋" w:cs="Times New Roman"/>
                <w:color w:val="auto"/>
                <w:sz w:val="18"/>
                <w:szCs w:val="24"/>
                <w:highlight w:val="none"/>
              </w:rPr>
            </w:r>
            <w:r/>
          </w:p>
        </w:tc>
        <w:tc>
          <w:tcPr>
            <w:gridSpan w:val="2"/>
            <w:tcBorders>
              <w:top w:val="none" w:color="000000" w:sz="4" w:space="0"/>
              <w:left w:val="single" w:color="auto" w:sz="12" w:space="0"/>
              <w:bottom w:val="single" w:color="auto" w:sz="12" w:space="0"/>
              <w:right w:val="single" w:color="auto" w:sz="12" w:space="0"/>
            </w:tcBorders>
            <w:tcW w:w="154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93" w:name="_Toc49119866"/>
            <w:r>
              <w:rPr>
                <w:rFonts w:ascii="宋体" w:hAnsi="宋体" w:cs="宋体"/>
              </w:rPr>
            </w:r>
            <w:bookmarkStart w:id="494" w:name="_Toc49033518"/>
            <w:r>
              <w:rPr>
                <w:rFonts w:ascii="宋体" w:hAnsi="宋体" w:cs="宋体"/>
              </w:rPr>
            </w:r>
            <w:bookmarkStart w:id="495" w:name="_Toc49092040"/>
            <w:r>
              <w:rPr>
                <w:rFonts w:ascii="宋体" w:hAnsi="宋体" w:cs="宋体"/>
              </w:rPr>
            </w:r>
            <w:bookmarkStart w:id="496" w:name="_Toc49032426"/>
            <w:r>
              <w:rPr>
                <w:rFonts w:hint="default" w:ascii="宋体" w:hAnsi="宋体" w:eastAsia="宋体" w:cs="宋体"/>
                <w:color w:val="auto"/>
                <w:sz w:val="18"/>
                <w:szCs w:val="24"/>
                <w:highlight w:val="none"/>
              </w:rPr>
              <w:t xml:space="preserve">喷塑漆膜耐腐蚀</w:t>
            </w:r>
            <w:bookmarkEnd w:id="493"/>
            <w:r>
              <w:rPr>
                <w:rFonts w:ascii="宋体" w:hAnsi="宋体" w:cs="宋体"/>
              </w:rPr>
            </w:r>
            <w:bookmarkEnd w:id="494"/>
            <w:r>
              <w:rPr>
                <w:rFonts w:ascii="宋体" w:hAnsi="宋体" w:cs="宋体"/>
              </w:rPr>
            </w:r>
            <w:bookmarkEnd w:id="495"/>
            <w:r>
              <w:rPr>
                <w:rFonts w:ascii="宋体" w:hAnsi="宋体" w:cs="宋体"/>
              </w:rPr>
            </w:r>
            <w:bookmarkEnd w:id="496"/>
            <w:r>
              <w:rPr>
                <w:rFonts w:ascii="宋体" w:hAnsi="宋体" w:cs="宋体"/>
              </w:rPr>
            </w:r>
            <w:r/>
          </w:p>
        </w:tc>
        <w:tc>
          <w:tcPr>
            <w:tcBorders>
              <w:top w:val="none" w:color="000000" w:sz="4" w:space="0"/>
              <w:left w:val="single" w:color="auto" w:sz="12" w:space="0"/>
              <w:bottom w:val="single" w:color="auto" w:sz="12" w:space="0"/>
            </w:tcBorders>
            <w:tcW w:w="2418"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497" w:name="_Toc49032427"/>
            <w:r>
              <w:rPr>
                <w:rFonts w:ascii="宋体" w:hAnsi="宋体" w:cs="宋体"/>
              </w:rPr>
            </w:r>
            <w:bookmarkStart w:id="498" w:name="_Toc49033519"/>
            <w:r>
              <w:rPr>
                <w:rFonts w:ascii="宋体" w:hAnsi="宋体" w:cs="宋体"/>
              </w:rPr>
            </w:r>
            <w:bookmarkStart w:id="499" w:name="_Toc49119867"/>
            <w:r>
              <w:rPr>
                <w:rFonts w:ascii="宋体" w:hAnsi="宋体" w:cs="宋体"/>
              </w:rPr>
            </w:r>
            <w:bookmarkStart w:id="500" w:name="_Toc49092041"/>
            <w:r>
              <w:rPr>
                <w:rFonts w:hint="default" w:ascii="宋体" w:hAnsi="宋体" w:eastAsia="宋体" w:cs="宋体"/>
                <w:color w:val="auto"/>
                <w:sz w:val="18"/>
                <w:szCs w:val="24"/>
                <w:highlight w:val="none"/>
              </w:rPr>
              <w:t xml:space="preserve">中性盐雾喷雾96h，膜层不起泡、不脱落，无锈斑</w:t>
            </w:r>
            <w:bookmarkEnd w:id="497"/>
            <w:r>
              <w:rPr>
                <w:rFonts w:ascii="宋体" w:hAnsi="宋体" w:cs="宋体"/>
              </w:rPr>
            </w:r>
            <w:bookmarkEnd w:id="498"/>
            <w:r>
              <w:rPr>
                <w:rFonts w:ascii="宋体" w:hAnsi="宋体" w:cs="宋体"/>
              </w:rPr>
            </w:r>
            <w:bookmarkEnd w:id="499"/>
            <w:r>
              <w:rPr>
                <w:rFonts w:ascii="宋体" w:hAnsi="宋体" w:cs="宋体"/>
              </w:rPr>
            </w:r>
            <w:bookmarkEnd w:id="500"/>
            <w:r>
              <w:rPr>
                <w:rFonts w:ascii="宋体" w:hAnsi="宋体" w:cs="宋体"/>
              </w:rPr>
            </w:r>
            <w:r/>
          </w:p>
        </w:tc>
      </w:tr>
      <w:tr>
        <w:trPr>
          <w:cantSplit/>
          <w:jc w:val="center"/>
          <w:trHeight w:val="340"/>
        </w:trPr>
        <w:tc>
          <w:tcPr>
            <w:tcBorders>
              <w:top w:val="single" w:color="auto" w:sz="6" w:space="0"/>
              <w:bottom w:val="single" w:color="auto" w:sz="12" w:space="0"/>
              <w:right w:val="single" w:color="auto" w:sz="12" w:space="0"/>
            </w:tcBorders>
            <w:tcW w:w="104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501" w:name="_Toc49119868"/>
            <w:r>
              <w:rPr>
                <w:rFonts w:ascii="宋体" w:hAnsi="宋体" w:cs="宋体"/>
              </w:rPr>
            </w:r>
            <w:bookmarkStart w:id="502" w:name="_Toc49032428"/>
            <w:r>
              <w:rPr>
                <w:rFonts w:ascii="宋体" w:hAnsi="宋体" w:cs="宋体"/>
              </w:rPr>
            </w:r>
            <w:bookmarkStart w:id="503" w:name="_Toc4075"/>
            <w:r>
              <w:rPr>
                <w:rFonts w:ascii="宋体" w:hAnsi="宋体" w:cs="宋体"/>
              </w:rPr>
            </w:r>
            <w:bookmarkStart w:id="504" w:name="_Toc418767546"/>
            <w:r>
              <w:rPr>
                <w:rFonts w:ascii="宋体" w:hAnsi="宋体" w:cs="宋体"/>
              </w:rPr>
            </w:r>
            <w:bookmarkStart w:id="505" w:name="_Toc49033520"/>
            <w:r>
              <w:rPr>
                <w:rFonts w:ascii="宋体" w:hAnsi="宋体" w:cs="宋体"/>
              </w:rPr>
            </w:r>
            <w:bookmarkStart w:id="506" w:name="_Toc418769759"/>
            <w:r>
              <w:rPr>
                <w:rFonts w:ascii="宋体" w:hAnsi="宋体" w:cs="宋体"/>
              </w:rPr>
            </w:r>
            <w:bookmarkStart w:id="507" w:name="_Toc24115"/>
            <w:r>
              <w:rPr>
                <w:rFonts w:ascii="宋体" w:hAnsi="宋体" w:cs="宋体"/>
              </w:rPr>
            </w:r>
            <w:bookmarkStart w:id="508" w:name="_Toc49092042"/>
            <w:r>
              <w:rPr>
                <w:rFonts w:hint="default" w:ascii="宋体" w:hAnsi="宋体" w:eastAsia="宋体" w:cs="宋体"/>
                <w:color w:val="auto"/>
                <w:sz w:val="18"/>
                <w:szCs w:val="24"/>
                <w:highlight w:val="none"/>
              </w:rPr>
              <w:t xml:space="preserve">电镀锌配件</w:t>
            </w:r>
            <w:bookmarkEnd w:id="501"/>
            <w:r>
              <w:rPr>
                <w:rFonts w:ascii="宋体" w:hAnsi="宋体" w:cs="宋体"/>
              </w:rPr>
            </w:r>
            <w:bookmarkEnd w:id="502"/>
            <w:r>
              <w:rPr>
                <w:rFonts w:ascii="宋体" w:hAnsi="宋体" w:cs="宋体"/>
              </w:rPr>
            </w:r>
            <w:bookmarkEnd w:id="503"/>
            <w:r>
              <w:rPr>
                <w:rFonts w:ascii="宋体" w:hAnsi="宋体" w:cs="宋体"/>
              </w:rPr>
            </w:r>
            <w:bookmarkEnd w:id="504"/>
            <w:r>
              <w:rPr>
                <w:rFonts w:ascii="宋体" w:hAnsi="宋体" w:cs="宋体"/>
              </w:rPr>
            </w:r>
            <w:bookmarkEnd w:id="505"/>
            <w:r>
              <w:rPr>
                <w:rFonts w:ascii="宋体" w:hAnsi="宋体" w:cs="宋体"/>
              </w:rPr>
            </w:r>
            <w:bookmarkEnd w:id="506"/>
            <w:r>
              <w:rPr>
                <w:rFonts w:ascii="宋体" w:hAnsi="宋体" w:cs="宋体"/>
              </w:rPr>
            </w:r>
            <w:bookmarkEnd w:id="507"/>
            <w:r>
              <w:rPr>
                <w:rFonts w:ascii="宋体" w:hAnsi="宋体" w:cs="宋体"/>
              </w:rPr>
            </w:r>
            <w:bookmarkEnd w:id="508"/>
            <w:r>
              <w:rPr>
                <w:rFonts w:ascii="宋体" w:hAnsi="宋体" w:cs="宋体"/>
              </w:rPr>
            </w:r>
            <w:r/>
          </w:p>
        </w:tc>
        <w:tc>
          <w:tcPr>
            <w:gridSpan w:val="2"/>
            <w:tcBorders>
              <w:top w:val="none" w:color="000000" w:sz="4" w:space="0"/>
              <w:left w:val="single" w:color="auto" w:sz="12" w:space="0"/>
              <w:bottom w:val="single" w:color="auto" w:sz="12" w:space="0"/>
              <w:right w:val="single" w:color="auto" w:sz="12" w:space="0"/>
            </w:tcBorders>
            <w:tcW w:w="1541"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509" w:name="_Toc418767549"/>
            <w:r>
              <w:rPr>
                <w:rFonts w:ascii="宋体" w:hAnsi="宋体" w:cs="宋体"/>
              </w:rPr>
            </w:r>
            <w:bookmarkStart w:id="510" w:name="_Toc49092043"/>
            <w:r>
              <w:rPr>
                <w:rFonts w:ascii="宋体" w:hAnsi="宋体" w:cs="宋体"/>
              </w:rPr>
            </w:r>
            <w:bookmarkStart w:id="511" w:name="_Toc418769762"/>
            <w:r>
              <w:rPr>
                <w:rFonts w:ascii="宋体" w:hAnsi="宋体" w:cs="宋体"/>
              </w:rPr>
            </w:r>
            <w:bookmarkStart w:id="512" w:name="_Toc7753"/>
            <w:r>
              <w:rPr>
                <w:rFonts w:ascii="宋体" w:hAnsi="宋体" w:cs="宋体"/>
              </w:rPr>
            </w:r>
            <w:bookmarkStart w:id="513" w:name="_Toc49033521"/>
            <w:r>
              <w:rPr>
                <w:rFonts w:ascii="宋体" w:hAnsi="宋体" w:cs="宋体"/>
              </w:rPr>
            </w:r>
            <w:bookmarkStart w:id="514" w:name="_Toc49032429"/>
            <w:r>
              <w:rPr>
                <w:rFonts w:ascii="宋体" w:hAnsi="宋体" w:cs="宋体"/>
              </w:rPr>
            </w:r>
            <w:bookmarkStart w:id="515" w:name="_Toc5061"/>
            <w:r>
              <w:rPr>
                <w:rFonts w:hint="default" w:ascii="宋体" w:hAnsi="宋体" w:eastAsia="宋体" w:cs="宋体"/>
                <w:color w:val="auto"/>
                <w:sz w:val="18"/>
                <w:szCs w:val="24"/>
                <w:highlight w:val="none"/>
              </w:rPr>
              <w:t xml:space="preserve">锌镀层耐腐蚀</w:t>
            </w:r>
            <w:bookmarkEnd w:id="509"/>
            <w:r>
              <w:rPr>
                <w:rFonts w:ascii="宋体" w:hAnsi="宋体" w:cs="宋体"/>
              </w:rPr>
            </w:r>
            <w:bookmarkEnd w:id="510"/>
            <w:r>
              <w:rPr>
                <w:rFonts w:ascii="宋体" w:hAnsi="宋体" w:cs="宋体"/>
              </w:rPr>
            </w:r>
            <w:bookmarkEnd w:id="511"/>
            <w:r>
              <w:rPr>
                <w:rFonts w:ascii="宋体" w:hAnsi="宋体" w:cs="宋体"/>
              </w:rPr>
            </w:r>
            <w:bookmarkEnd w:id="512"/>
            <w:r>
              <w:rPr>
                <w:rFonts w:ascii="宋体" w:hAnsi="宋体" w:cs="宋体"/>
              </w:rPr>
            </w:r>
            <w:bookmarkEnd w:id="513"/>
            <w:r>
              <w:rPr>
                <w:rFonts w:ascii="宋体" w:hAnsi="宋体" w:cs="宋体"/>
              </w:rPr>
            </w:r>
            <w:bookmarkEnd w:id="514"/>
            <w:r>
              <w:rPr>
                <w:rFonts w:ascii="宋体" w:hAnsi="宋体" w:cs="宋体"/>
              </w:rPr>
            </w:r>
            <w:bookmarkEnd w:id="515"/>
            <w:r>
              <w:rPr>
                <w:rFonts w:ascii="宋体" w:hAnsi="宋体" w:cs="宋体"/>
              </w:rPr>
            </w:r>
            <w:r/>
          </w:p>
        </w:tc>
        <w:tc>
          <w:tcPr>
            <w:tcBorders>
              <w:top w:val="single" w:color="auto" w:sz="6" w:space="0"/>
              <w:left w:val="single" w:color="auto" w:sz="12" w:space="0"/>
              <w:bottom w:val="single" w:color="auto" w:sz="12" w:space="0"/>
            </w:tcBorders>
            <w:tcW w:w="2418" w:type="pct"/>
            <w:vAlign w:val="center"/>
            <w:textDirection w:val="lrTb"/>
            <w:noWrap w:val="false"/>
          </w:tcPr>
          <w:p>
            <w:pPr>
              <w:jc w:val="center"/>
              <w:spacing w:line="0" w:lineRule="atLeast"/>
              <w:rPr>
                <w:rFonts w:hint="default" w:ascii="宋体" w:hAnsi="宋体" w:cs="宋体"/>
                <w:color w:val="auto"/>
                <w:sz w:val="18"/>
                <w:szCs w:val="24"/>
                <w:highlight w:val="none"/>
              </w:rPr>
            </w:pPr>
            <w:r>
              <w:rPr>
                <w:rFonts w:ascii="宋体" w:hAnsi="宋体" w:cs="宋体"/>
              </w:rPr>
            </w:r>
            <w:bookmarkStart w:id="516" w:name="_Toc418769763"/>
            <w:r>
              <w:rPr>
                <w:rFonts w:ascii="宋体" w:hAnsi="宋体" w:cs="宋体"/>
              </w:rPr>
            </w:r>
            <w:bookmarkStart w:id="517" w:name="_Toc49092044"/>
            <w:r>
              <w:rPr>
                <w:rFonts w:ascii="宋体" w:hAnsi="宋体" w:cs="宋体"/>
              </w:rPr>
            </w:r>
            <w:bookmarkStart w:id="518" w:name="_Toc16258"/>
            <w:r>
              <w:rPr>
                <w:rFonts w:ascii="宋体" w:hAnsi="宋体" w:cs="宋体"/>
              </w:rPr>
            </w:r>
            <w:bookmarkStart w:id="519" w:name="_Toc418767550"/>
            <w:r>
              <w:rPr>
                <w:rFonts w:ascii="宋体" w:hAnsi="宋体" w:cs="宋体"/>
              </w:rPr>
            </w:r>
            <w:bookmarkStart w:id="520" w:name="_Toc49033522"/>
            <w:r>
              <w:rPr>
                <w:rFonts w:ascii="宋体" w:hAnsi="宋体" w:cs="宋体"/>
              </w:rPr>
            </w:r>
            <w:bookmarkStart w:id="521" w:name="_Toc49032430"/>
            <w:r>
              <w:rPr>
                <w:rFonts w:ascii="宋体" w:hAnsi="宋体" w:cs="宋体"/>
              </w:rPr>
            </w:r>
            <w:bookmarkStart w:id="522" w:name="_Toc1309"/>
            <w:r>
              <w:rPr>
                <w:rFonts w:hint="default" w:ascii="宋体" w:hAnsi="宋体" w:eastAsia="宋体" w:cs="宋体"/>
                <w:color w:val="auto"/>
                <w:sz w:val="18"/>
                <w:szCs w:val="24"/>
                <w:highlight w:val="none"/>
              </w:rPr>
              <w:t xml:space="preserve">中性盐雾喷雾48 h，主要表面无锈斑</w:t>
            </w:r>
            <w:bookmarkEnd w:id="516"/>
            <w:r>
              <w:rPr>
                <w:rFonts w:ascii="宋体" w:hAnsi="宋体" w:cs="宋体"/>
              </w:rPr>
            </w:r>
            <w:bookmarkEnd w:id="517"/>
            <w:r>
              <w:rPr>
                <w:rFonts w:ascii="宋体" w:hAnsi="宋体" w:cs="宋体"/>
              </w:rPr>
            </w:r>
            <w:bookmarkEnd w:id="518"/>
            <w:r>
              <w:rPr>
                <w:rFonts w:ascii="宋体" w:hAnsi="宋体" w:cs="宋体"/>
              </w:rPr>
            </w:r>
            <w:bookmarkEnd w:id="519"/>
            <w:r>
              <w:rPr>
                <w:rFonts w:ascii="宋体" w:hAnsi="宋体" w:cs="宋体"/>
              </w:rPr>
            </w:r>
            <w:bookmarkEnd w:id="520"/>
            <w:r>
              <w:rPr>
                <w:rFonts w:ascii="宋体" w:hAnsi="宋体" w:cs="宋体"/>
              </w:rPr>
            </w:r>
            <w:bookmarkEnd w:id="521"/>
            <w:r>
              <w:rPr>
                <w:rFonts w:ascii="宋体" w:hAnsi="宋体" w:cs="宋体"/>
              </w:rPr>
            </w:r>
            <w:bookmarkEnd w:id="522"/>
            <w:r>
              <w:rPr>
                <w:rFonts w:ascii="宋体" w:hAnsi="宋体" w:cs="宋体"/>
              </w:rPr>
            </w:r>
            <w:r/>
          </w:p>
        </w:tc>
      </w:tr>
    </w:tbl>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PU胶条粘附强度不得低于6N/cm。</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成品帐篷防雨性能按附录D要求检验，30min篷体部位不得有漏水现象。</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编织布、拉绳、捆包绳的物理性能指标应符合表2的规定。</w:t>
      </w:r>
      <w:bookmarkEnd w:id="216"/>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pStyle w:val="1043"/>
        <w:numPr>
          <w:ilvl w:val="1"/>
          <w:numId w:val="10"/>
        </w:numPr>
        <w:ind w:left="556" w:hanging="556"/>
        <w:spacing w:before="312" w:after="312"/>
        <w:rPr>
          <w:rFonts w:hint="default" w:ascii="Times New Roman" w:hAnsi="Times New Roman" w:cs="Times New Roman"/>
          <w:color w:val="auto"/>
          <w:highlight w:val="none"/>
        </w:rPr>
      </w:pPr>
      <w:r/>
      <w:bookmarkStart w:id="523" w:name="_Toc193103932"/>
      <w:r/>
      <w:bookmarkStart w:id="524" w:name="_Toc24335"/>
      <w:r/>
      <w:bookmarkStart w:id="525" w:name="_Toc339004706"/>
      <w:r/>
      <w:bookmarkStart w:id="526" w:name="_Toc191462680"/>
      <w:r/>
      <w:bookmarkStart w:id="527" w:name="_Toc418769764"/>
      <w:r/>
      <w:bookmarkStart w:id="528" w:name="_Toc4187"/>
      <w:r/>
      <w:bookmarkStart w:id="529" w:name="_Toc191462614"/>
      <w:r>
        <w:rPr>
          <w:rFonts w:hint="default" w:ascii="Times New Roman" w:hAnsi="Times New Roman" w:cs="Times New Roman"/>
          <w:color w:val="auto"/>
          <w:highlight w:val="none"/>
        </w:rPr>
        <w:t xml:space="preserve">试验方法</w:t>
      </w:r>
      <w:bookmarkEnd w:id="523"/>
      <w:r/>
      <w:bookmarkEnd w:id="524"/>
      <w:r/>
      <w:bookmarkEnd w:id="525"/>
      <w:r/>
      <w:bookmarkEnd w:id="526"/>
      <w:r/>
      <w:bookmarkEnd w:id="527"/>
      <w:r/>
      <w:bookmarkEnd w:id="528"/>
      <w:r/>
      <w:bookmarkEnd w:id="529"/>
      <w:r/>
      <w:r/>
    </w:p>
    <w:p>
      <w:pPr>
        <w:pStyle w:val="1045"/>
        <w:numPr>
          <w:ilvl w:val="2"/>
          <w:numId w:val="10"/>
        </w:numPr>
        <w:ind w:left="0" w:firstLine="0"/>
        <w:jc w:val="both"/>
        <w:rPr>
          <w:rFonts w:hint="default" w:ascii="Times New Roman" w:hAnsi="Times New Roman" w:cs="Times New Roman"/>
          <w:color w:val="auto"/>
          <w:highlight w:val="none"/>
        </w:rPr>
      </w:pPr>
      <w:r/>
      <w:bookmarkStart w:id="530" w:name="_Toc191462681"/>
      <w:r/>
      <w:bookmarkStart w:id="531" w:name="_Toc339004707"/>
      <w:r/>
      <w:bookmarkStart w:id="532" w:name="_Toc193103933"/>
      <w:r>
        <w:rPr>
          <w:rFonts w:hint="default" w:ascii="Times New Roman" w:hAnsi="Times New Roman" w:cs="Times New Roman"/>
          <w:color w:val="auto"/>
          <w:highlight w:val="none"/>
        </w:rPr>
        <w:t xml:space="preserve">材料检验</w:t>
      </w:r>
      <w:bookmarkEnd w:id="530"/>
      <w:r/>
      <w:bookmarkEnd w:id="531"/>
      <w:r/>
      <w:bookmarkEnd w:id="532"/>
      <w:r/>
      <w:r/>
    </w:p>
    <w:p>
      <w:pPr>
        <w:rPr>
          <w:rFonts w:hint="default" w:ascii="宋体" w:hAnsi="宋体" w:cs="宋体"/>
          <w:color w:val="auto"/>
          <w:szCs w:val="24"/>
          <w:highlight w:val="none"/>
        </w:rPr>
      </w:pPr>
      <w:r>
        <w:rPr>
          <w:rFonts w:hint="default" w:ascii="Times New Roman" w:hAnsi="Times New Roman" w:eastAsia="仿宋" w:cs="Times New Roman"/>
          <w:color w:val="auto"/>
          <w:szCs w:val="24"/>
          <w:highlight w:val="none"/>
        </w:rPr>
        <w:t xml:space="preserve">    </w:t>
      </w:r>
      <w:bookmarkStart w:id="533" w:name="_Toc10860"/>
      <w:r>
        <w:rPr>
          <w:rFonts w:ascii="宋体" w:hAnsi="宋体" w:cs="宋体"/>
        </w:rPr>
      </w:r>
      <w:bookmarkStart w:id="534" w:name="_Toc418767552"/>
      <w:r>
        <w:rPr>
          <w:rFonts w:ascii="宋体" w:hAnsi="宋体" w:cs="宋体"/>
        </w:rPr>
      </w:r>
      <w:bookmarkStart w:id="535" w:name="_Toc29504"/>
      <w:r>
        <w:rPr>
          <w:rFonts w:ascii="宋体" w:hAnsi="宋体" w:cs="宋体"/>
        </w:rPr>
      </w:r>
      <w:bookmarkStart w:id="536" w:name="_Toc418769765"/>
      <w:r>
        <w:rPr>
          <w:rFonts w:hint="default" w:ascii="宋体" w:hAnsi="宋体" w:eastAsia="宋体" w:cs="宋体"/>
          <w:color w:val="auto"/>
          <w:szCs w:val="24"/>
          <w:highlight w:val="none"/>
        </w:rPr>
        <w:t xml:space="preserve">各种材料进厂后或使用前应按相关标准检验，不合格者不得使用。</w:t>
      </w:r>
      <w:bookmarkEnd w:id="533"/>
      <w:r>
        <w:rPr>
          <w:rFonts w:ascii="宋体" w:hAnsi="宋体" w:cs="宋体"/>
        </w:rPr>
      </w:r>
      <w:bookmarkEnd w:id="534"/>
      <w:r>
        <w:rPr>
          <w:rFonts w:ascii="宋体" w:hAnsi="宋体" w:cs="宋体"/>
        </w:rPr>
      </w:r>
      <w:bookmarkEnd w:id="535"/>
      <w:r>
        <w:rPr>
          <w:rFonts w:ascii="宋体" w:hAnsi="宋体" w:cs="宋体"/>
        </w:rPr>
      </w:r>
      <w:bookmarkEnd w:id="536"/>
      <w:r>
        <w:rPr>
          <w:rFonts w:ascii="宋体" w:hAnsi="宋体" w:cs="宋体"/>
        </w:rPr>
      </w:r>
      <w:r/>
    </w:p>
    <w:p>
      <w:pPr>
        <w:pStyle w:val="1045"/>
        <w:numPr>
          <w:ilvl w:val="2"/>
          <w:numId w:val="10"/>
        </w:numPr>
        <w:ind w:left="0" w:firstLine="0"/>
        <w:jc w:val="both"/>
        <w:rPr>
          <w:rFonts w:hint="default" w:ascii="Times New Roman" w:hAnsi="Times New Roman" w:cs="Times New Roman"/>
          <w:color w:val="auto"/>
          <w:highlight w:val="none"/>
        </w:rPr>
      </w:pPr>
      <w:r/>
      <w:bookmarkStart w:id="537" w:name="_Toc191462682"/>
      <w:r/>
      <w:bookmarkStart w:id="538" w:name="_Toc193103934"/>
      <w:r/>
      <w:bookmarkStart w:id="539" w:name="_Toc339004708"/>
      <w:r>
        <w:rPr>
          <w:rFonts w:hint="default" w:ascii="Times New Roman" w:hAnsi="Times New Roman" w:cs="Times New Roman"/>
          <w:color w:val="auto"/>
          <w:highlight w:val="none"/>
        </w:rPr>
        <w:t xml:space="preserve">外观检验</w:t>
      </w:r>
      <w:bookmarkEnd w:id="537"/>
      <w:r/>
      <w:bookmarkEnd w:id="538"/>
      <w:r/>
      <w:bookmarkEnd w:id="539"/>
      <w:r/>
      <w:r/>
    </w:p>
    <w:p>
      <w:pPr>
        <w:pStyle w:val="1048"/>
        <w:numPr>
          <w:ilvl w:val="3"/>
          <w:numId w:val="10"/>
        </w:numPr>
        <w:ind w:left="567" w:hanging="567"/>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检验条件</w:t>
      </w:r>
      <w:r/>
    </w:p>
    <w:p>
      <w:pPr>
        <w:rPr>
          <w:rFonts w:hint="default" w:ascii="宋体" w:hAnsi="宋体" w:cs="宋体"/>
          <w:color w:val="auto"/>
          <w:szCs w:val="24"/>
          <w:highlight w:val="none"/>
        </w:rPr>
      </w:pPr>
      <w:r>
        <w:rPr>
          <w:rFonts w:hint="default" w:ascii="Times New Roman" w:hAnsi="Times New Roman" w:eastAsia="仿宋" w:cs="Times New Roman"/>
          <w:color w:val="auto"/>
          <w:szCs w:val="24"/>
          <w:highlight w:val="none"/>
        </w:rPr>
        <w:t xml:space="preserve"> </w:t>
      </w:r>
      <w:r>
        <w:rPr>
          <w:rFonts w:hint="default" w:ascii="宋体" w:hAnsi="宋体" w:eastAsia="仿宋" w:cs="宋体"/>
          <w:color w:val="auto"/>
          <w:szCs w:val="24"/>
          <w:highlight w:val="none"/>
        </w:rPr>
        <w:t xml:space="preserve">   </w:t>
      </w:r>
      <w:bookmarkStart w:id="540" w:name="_Toc418769766"/>
      <w:r>
        <w:rPr>
          <w:rFonts w:ascii="宋体" w:hAnsi="宋体" w:cs="宋体"/>
        </w:rPr>
      </w:r>
      <w:bookmarkStart w:id="541" w:name="_Toc28473"/>
      <w:r>
        <w:rPr>
          <w:rFonts w:ascii="宋体" w:hAnsi="宋体" w:cs="宋体"/>
        </w:rPr>
      </w:r>
      <w:bookmarkStart w:id="542" w:name="_Toc418767553"/>
      <w:r>
        <w:rPr>
          <w:rFonts w:ascii="宋体" w:hAnsi="宋体" w:cs="宋体"/>
        </w:rPr>
      </w:r>
      <w:bookmarkStart w:id="543" w:name="_Toc5478"/>
      <w:r>
        <w:rPr>
          <w:rFonts w:hint="default" w:ascii="宋体" w:hAnsi="宋体" w:eastAsia="宋体" w:cs="宋体"/>
          <w:color w:val="auto"/>
          <w:szCs w:val="24"/>
          <w:highlight w:val="none"/>
        </w:rPr>
        <w:t xml:space="preserve">在天然散射光或无反射光的白色透射光线下进行，光的照度不得低于300 lx（相当于40W日光灯下距离500mm处的光照度）。</w:t>
      </w:r>
      <w:bookmarkEnd w:id="540"/>
      <w:r>
        <w:rPr>
          <w:rFonts w:ascii="宋体" w:hAnsi="宋体" w:cs="宋体"/>
        </w:rPr>
      </w:r>
      <w:bookmarkEnd w:id="541"/>
      <w:r>
        <w:rPr>
          <w:rFonts w:ascii="宋体" w:hAnsi="宋体" w:cs="宋体"/>
        </w:rPr>
      </w:r>
      <w:bookmarkEnd w:id="542"/>
      <w:r>
        <w:rPr>
          <w:rFonts w:ascii="宋体" w:hAnsi="宋体" w:cs="宋体"/>
        </w:rPr>
      </w:r>
      <w:bookmarkEnd w:id="543"/>
      <w:r>
        <w:rPr>
          <w:rFonts w:ascii="宋体" w:hAnsi="宋体" w:cs="宋体"/>
        </w:rPr>
      </w:r>
      <w:r/>
    </w:p>
    <w:p>
      <w:pPr>
        <w:pStyle w:val="1048"/>
        <w:numPr>
          <w:ilvl w:val="3"/>
          <w:numId w:val="10"/>
        </w:numPr>
        <w:ind w:left="567" w:hanging="567"/>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检验方法</w:t>
      </w:r>
      <w:r/>
    </w:p>
    <w:p>
      <w:pPr>
        <w:ind w:firstLine="420"/>
        <w:rPr>
          <w:rFonts w:hint="default" w:ascii="Times New Roman" w:hAnsi="Times New Roman" w:eastAsia="仿宋" w:cs="Times New Roman"/>
          <w:color w:val="auto"/>
          <w:szCs w:val="24"/>
          <w:highlight w:val="none"/>
        </w:rPr>
      </w:pPr>
      <w:r>
        <w:rPr>
          <w:rFonts w:hint="default" w:ascii="宋体" w:hAnsi="宋体" w:eastAsia="宋体" w:cs="宋体"/>
          <w:color w:val="auto"/>
          <w:szCs w:val="24"/>
          <w:highlight w:val="none"/>
        </w:rPr>
        <w:t xml:space="preserve">外观质量的检验以目视观感和手感检验。</w:t>
      </w:r>
      <w:r/>
    </w:p>
    <w:p>
      <w:pPr>
        <w:pStyle w:val="1048"/>
        <w:numPr>
          <w:ilvl w:val="3"/>
          <w:numId w:val="10"/>
        </w:numPr>
        <w:ind w:left="567" w:hanging="567"/>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颜色检验</w:t>
      </w:r>
      <w:r/>
    </w:p>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主辅材料的颜色检验按GB/T 250的规定。</w:t>
      </w:r>
      <w:r/>
    </w:p>
    <w:p>
      <w:pPr>
        <w:pStyle w:val="1045"/>
        <w:numPr>
          <w:ilvl w:val="2"/>
          <w:numId w:val="10"/>
        </w:numPr>
        <w:ind w:left="0" w:firstLine="0"/>
        <w:jc w:val="both"/>
        <w:rPr>
          <w:rFonts w:hint="default" w:ascii="Times New Roman" w:hAnsi="Times New Roman" w:cs="Times New Roman"/>
          <w:color w:val="auto"/>
          <w:highlight w:val="none"/>
        </w:rPr>
      </w:pPr>
      <w:r/>
      <w:bookmarkStart w:id="544" w:name="_Toc193103935"/>
      <w:r/>
      <w:bookmarkStart w:id="545" w:name="_Toc191462683"/>
      <w:r/>
      <w:bookmarkStart w:id="546" w:name="_Toc339004709"/>
      <w:r>
        <w:rPr>
          <w:rFonts w:hint="default" w:ascii="Times New Roman" w:hAnsi="Times New Roman" w:cs="Times New Roman"/>
          <w:color w:val="auto"/>
          <w:highlight w:val="none"/>
        </w:rPr>
        <w:t xml:space="preserve">尺寸检验</w:t>
      </w:r>
      <w:bookmarkEnd w:id="544"/>
      <w:r/>
      <w:bookmarkEnd w:id="545"/>
      <w:r/>
      <w:bookmarkEnd w:id="546"/>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w:t>
      </w:r>
      <w:r>
        <w:rPr>
          <w:rFonts w:hint="default" w:ascii="宋体" w:hAnsi="宋体" w:eastAsia="仿宋" w:cs="宋体"/>
          <w:color w:val="auto"/>
          <w:szCs w:val="24"/>
          <w:highlight w:val="none"/>
        </w:rPr>
        <w:t xml:space="preserve"> </w:t>
      </w:r>
      <w:bookmarkStart w:id="547" w:name="_Toc191462684"/>
      <w:r>
        <w:rPr>
          <w:rFonts w:ascii="宋体" w:hAnsi="宋体" w:cs="宋体"/>
        </w:rPr>
      </w:r>
      <w:bookmarkStart w:id="548" w:name="_Toc193103936"/>
      <w:r>
        <w:rPr>
          <w:rFonts w:ascii="宋体" w:hAnsi="宋体" w:cs="宋体"/>
        </w:rPr>
      </w:r>
      <w:bookmarkStart w:id="549" w:name="_Toc339004710"/>
      <w:r>
        <w:rPr>
          <w:rFonts w:ascii="宋体" w:hAnsi="宋体" w:cs="宋体"/>
        </w:rPr>
      </w:r>
      <w:bookmarkStart w:id="550" w:name="_Toc222807248"/>
      <w:r>
        <w:rPr>
          <w:rFonts w:hint="default" w:ascii="宋体" w:hAnsi="宋体" w:eastAsia="宋体" w:cs="宋体"/>
          <w:color w:val="auto"/>
          <w:szCs w:val="24"/>
          <w:highlight w:val="none"/>
        </w:rPr>
        <w:t xml:space="preserve">成品尺寸的检验用精确度为1.0mm的卷尺测量。框架杆件外径、壁厚及各种配件的检验用精度0.02mm的游标卡尺检验。</w:t>
      </w:r>
      <w:bookmarkEnd w:id="547"/>
      <w:r/>
      <w:bookmarkEnd w:id="548"/>
      <w:r/>
      <w:bookmarkEnd w:id="549"/>
      <w:r/>
      <w:bookmarkEnd w:id="550"/>
      <w:r/>
      <w:r/>
    </w:p>
    <w:p>
      <w:pPr>
        <w:pStyle w:val="1045"/>
        <w:numPr>
          <w:ilvl w:val="2"/>
          <w:numId w:val="10"/>
        </w:numPr>
        <w:ind w:left="0" w:firstLine="0"/>
        <w:rPr>
          <w:rFonts w:hint="default" w:ascii="Times New Roman" w:hAnsi="Times New Roman" w:cs="Times New Roman"/>
          <w:color w:val="auto"/>
          <w:highlight w:val="none"/>
        </w:rPr>
      </w:pPr>
      <w:r/>
      <w:bookmarkStart w:id="551" w:name="_Toc191462685"/>
      <w:r/>
      <w:bookmarkStart w:id="552" w:name="_Toc193103937"/>
      <w:r/>
      <w:bookmarkStart w:id="553" w:name="_Toc339004711"/>
      <w:r>
        <w:rPr>
          <w:rFonts w:hint="default" w:ascii="Times New Roman" w:hAnsi="Times New Roman" w:cs="Times New Roman"/>
          <w:color w:val="auto"/>
          <w:highlight w:val="none"/>
        </w:rPr>
        <w:t xml:space="preserve">理化性能检验</w:t>
      </w:r>
      <w:bookmarkEnd w:id="551"/>
      <w:r/>
      <w:bookmarkEnd w:id="552"/>
      <w:r/>
      <w:bookmarkEnd w:id="553"/>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篷体材料织物组织、规格、性能指标的检验按附录J的规定。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包装袋材料规格及性能指标的检验按附录L的规定。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金属配件锌镀层耐腐蚀的检验按QB/T 3826的规定。</w:t>
      </w:r>
      <w:r/>
    </w:p>
    <w:p>
      <w:pPr>
        <w:pStyle w:val="1048"/>
        <w:numPr>
          <w:ilvl w:val="3"/>
          <w:numId w:val="10"/>
        </w:numPr>
        <w:ind w:left="0" w:hanging="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拉绳、窗格带、捆包绳断裂强力检验按FZ /T 65002的规定，编织布拉伸强力的检验按GB/T 3923.1的规定。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锦丝搭扣带扣合强度和撕揭强度的检验按JSB 40.1～JSB 40.2的规定。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帐篷防雨性能的试验按附录D的规定。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涤纶网眼布顶破强力的检验按GB/T 19976的规定。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bookmarkStart w:id="554" w:name="_Toc71087750"/>
      <w:r/>
      <w:bookmarkStart w:id="555" w:name="_Toc71215208"/>
      <w:r/>
      <w:bookmarkStart w:id="556" w:name="_Toc69291615"/>
      <w:r>
        <w:rPr>
          <w:rFonts w:hint="default" w:ascii="Times New Roman" w:hAnsi="Times New Roman" w:eastAsia="宋体" w:cs="Times New Roman"/>
          <w:color w:val="auto"/>
          <w:highlight w:val="none"/>
        </w:rPr>
        <w:t xml:space="preserve">尼龙拉链平拉强力和拉头拉片结合强力的检验按QB/T 2173的规定。</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铝及铝合金力学性能检验按GB/T 228.1。</w:t>
      </w:r>
      <w:r/>
    </w:p>
    <w:p>
      <w:pPr>
        <w:pStyle w:val="1048"/>
        <w:numPr>
          <w:ilvl w:val="3"/>
          <w:numId w:val="10"/>
        </w:numPr>
        <w:ind w:left="567" w:hanging="567"/>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PU胶条粘附强度的检验按FZ/T 01010的规定。</w:t>
      </w:r>
      <w:r/>
    </w:p>
    <w:p>
      <w:pPr>
        <w:pStyle w:val="1045"/>
        <w:numPr>
          <w:ilvl w:val="2"/>
          <w:numId w:val="10"/>
        </w:numPr>
        <w:ind w:left="0" w:firstLine="0"/>
        <w:rPr>
          <w:rFonts w:hint="default" w:ascii="Times New Roman" w:hAnsi="Times New Roman" w:cs="Times New Roman"/>
          <w:color w:val="auto"/>
          <w:highlight w:val="none"/>
        </w:rPr>
      </w:pPr>
      <w:r/>
      <w:bookmarkStart w:id="557" w:name="_Toc339004712"/>
      <w:r>
        <w:rPr>
          <w:rFonts w:hint="default" w:ascii="Times New Roman" w:hAnsi="Times New Roman" w:cs="Times New Roman"/>
          <w:color w:val="auto"/>
          <w:highlight w:val="none"/>
        </w:rPr>
        <w:t xml:space="preserve">标志与包装检验</w:t>
      </w:r>
      <w:bookmarkEnd w:id="557"/>
      <w:r/>
      <w:r/>
    </w:p>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标志与包装质量的检验按5.1和5.2的规定。</w:t>
      </w:r>
      <w:bookmarkEnd w:id="554"/>
      <w:r/>
      <w:bookmarkEnd w:id="555"/>
      <w:r/>
      <w:bookmarkEnd w:id="556"/>
      <w:r/>
      <w:r/>
    </w:p>
    <w:p>
      <w:pPr>
        <w:pStyle w:val="1043"/>
        <w:numPr>
          <w:ilvl w:val="1"/>
          <w:numId w:val="10"/>
        </w:numPr>
        <w:ind w:left="556" w:hanging="556"/>
        <w:spacing w:before="312" w:after="312"/>
        <w:rPr>
          <w:rFonts w:hint="default" w:ascii="Times New Roman" w:hAnsi="Times New Roman" w:cs="Times New Roman"/>
          <w:color w:val="auto"/>
          <w:highlight w:val="none"/>
        </w:rPr>
      </w:pPr>
      <w:r/>
      <w:bookmarkStart w:id="558" w:name="_Toc191462697"/>
      <w:r/>
      <w:bookmarkStart w:id="559" w:name="_Toc1125"/>
      <w:r/>
      <w:bookmarkStart w:id="560" w:name="_Toc418769767"/>
      <w:r/>
      <w:bookmarkStart w:id="561" w:name="_Toc339004722"/>
      <w:r/>
      <w:bookmarkStart w:id="562" w:name="_Toc193103949"/>
      <w:r/>
      <w:bookmarkStart w:id="563" w:name="_Toc191462616"/>
      <w:r/>
      <w:bookmarkStart w:id="564" w:name="_Toc32089"/>
      <w:r>
        <w:rPr>
          <w:rFonts w:hint="default" w:ascii="Times New Roman" w:hAnsi="Times New Roman" w:cs="Times New Roman"/>
          <w:color w:val="auto"/>
          <w:highlight w:val="none"/>
        </w:rPr>
        <w:t xml:space="preserve">标志、包装、运输与贮存</w:t>
      </w:r>
      <w:bookmarkEnd w:id="558"/>
      <w:r/>
      <w:bookmarkEnd w:id="559"/>
      <w:r/>
      <w:bookmarkEnd w:id="560"/>
      <w:r/>
      <w:bookmarkEnd w:id="561"/>
      <w:r/>
      <w:bookmarkEnd w:id="562"/>
      <w:r/>
      <w:bookmarkEnd w:id="563"/>
      <w:r/>
      <w:bookmarkEnd w:id="564"/>
      <w:r/>
      <w:r/>
    </w:p>
    <w:p>
      <w:pPr>
        <w:pStyle w:val="1045"/>
        <w:numPr>
          <w:ilvl w:val="2"/>
          <w:numId w:val="10"/>
        </w:numPr>
        <w:ind w:left="0" w:firstLine="0"/>
        <w:jc w:val="both"/>
        <w:rPr>
          <w:rFonts w:hint="default" w:ascii="Times New Roman" w:hAnsi="Times New Roman" w:cs="Times New Roman"/>
          <w:color w:val="auto"/>
          <w:highlight w:val="none"/>
        </w:rPr>
      </w:pPr>
      <w:r/>
      <w:bookmarkStart w:id="565" w:name="_Toc191462698"/>
      <w:r/>
      <w:bookmarkStart w:id="566" w:name="_Toc339004723"/>
      <w:r/>
      <w:bookmarkStart w:id="567" w:name="_Toc193103950"/>
      <w:r>
        <w:rPr>
          <w:rFonts w:hint="default" w:ascii="Times New Roman" w:hAnsi="Times New Roman" w:cs="Times New Roman"/>
          <w:color w:val="auto"/>
          <w:highlight w:val="none"/>
        </w:rPr>
        <w:t xml:space="preserve">标志</w:t>
      </w:r>
      <w:bookmarkEnd w:id="565"/>
      <w:r/>
      <w:bookmarkEnd w:id="566"/>
      <w:r/>
      <w:bookmarkEnd w:id="567"/>
      <w:r/>
      <w:r/>
    </w:p>
    <w:p>
      <w:pPr>
        <w:pStyle w:val="1048"/>
        <w:numPr>
          <w:ilvl w:val="3"/>
          <w:numId w:val="10"/>
        </w:numPr>
        <w:ind w:left="567" w:hanging="567"/>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产品标志</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帐篷顶坡两面居中，距篷顶左、右边450mm～500 mm内均匀排列印刷“应急救灾”字样，字体尺寸高450 mm，笔划粗细为50 mm。</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门左、右两侧居中，分别印“救”、“灾”字样，字的下端距地面800mm，字体尺寸高500mm，笔划粗细50mm。</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两侧</w:t>
      </w:r>
      <w:r>
        <w:rPr>
          <w:rFonts w:hint="default" w:ascii="Times New Roman" w:hAnsi="Times New Roman" w:eastAsia="宋体" w:cs="Times New Roman"/>
          <w:color w:val="auto"/>
          <w:szCs w:val="21"/>
          <w:highlight w:val="none"/>
        </w:rPr>
        <w:t xml:space="preserve">距地面250mm</w:t>
      </w:r>
      <w:r>
        <w:rPr>
          <w:rFonts w:hint="default" w:ascii="Times New Roman" w:hAnsi="Times New Roman" w:cs="Times New Roman"/>
          <w:color w:val="auto"/>
          <w:highlight w:val="none"/>
        </w:rPr>
        <w:t xml:space="preserve">~3</w:t>
      </w:r>
      <w:r>
        <w:rPr>
          <w:rFonts w:hint="default" w:ascii="Times New Roman" w:hAnsi="Times New Roman" w:eastAsia="宋体" w:cs="Times New Roman"/>
          <w:color w:val="auto"/>
          <w:szCs w:val="21"/>
          <w:highlight w:val="none"/>
        </w:rPr>
        <w:t xml:space="preserve">00mm、在右窗下居中位置长700mm、高300mm的范围内，居中均匀排列印刷：产品名称、生产批号、承制单位名称、监制单位名称等内容。当承制单位名称较长时，允许排成两行，字体尺寸高50mm。所有字体均为黑体字，</w:t>
      </w:r>
      <w:r>
        <w:rPr>
          <w:rFonts w:hint="default" w:ascii="Times New Roman" w:hAnsi="Times New Roman" w:eastAsia="宋体" w:cs="Times New Roman"/>
          <w:color w:val="auto"/>
          <w:highlight w:val="none"/>
        </w:rPr>
        <w:t xml:space="preserve">示例见图3。</w:t>
      </w:r>
      <w:r/>
    </w:p>
    <w:p>
      <w:pPr>
        <w:pStyle w:val="1049"/>
        <w:numPr>
          <w:ilvl w:val="0"/>
          <w:numId w:val="0"/>
        </w:numPr>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keepLines w:val="0"/>
        <w:keepNext w:val="0"/>
        <w:pageBreakBefore w:val="0"/>
        <w:spacing w:line="300" w:lineRule="exact"/>
        <w:widowControl w:val="off"/>
        <w:rPr>
          <w:rFonts w:ascii="黑体" w:hAnsi="Times New Roman" w:eastAsia="黑体" w:cs="黑体"/>
          <w:color w:val="auto"/>
          <w:spacing w:val="20"/>
          <w:sz w:val="21"/>
          <w:szCs w:val="21"/>
          <w:highlight w:val="none"/>
        </w:rPr>
      </w:pPr>
      <w:r>
        <w:rPr>
          <w:rFonts w:hint="eastAsia" w:ascii="黑体" w:hAnsi="Times New Roman" w:eastAsia="黑体" w:cs="黑体"/>
          <w:color w:val="auto"/>
          <w:spacing w:val="20"/>
          <w:sz w:val="21"/>
          <w:szCs w:val="21"/>
          <w:highlight w:val="none"/>
        </w:rPr>
        <w:t xml:space="preserve">救灾专用12m</w:t>
      </w:r>
      <w:r>
        <w:rPr>
          <w:rFonts w:hint="eastAsia" w:ascii="黑体" w:hAnsi="Times New Roman" w:eastAsia="黑体" w:cs="黑体"/>
          <w:color w:val="auto"/>
          <w:spacing w:val="20"/>
          <w:sz w:val="21"/>
          <w:szCs w:val="21"/>
          <w:highlight w:val="none"/>
          <w:vertAlign w:val="superscript"/>
        </w:rPr>
        <w:t xml:space="preserve">2</w:t>
      </w:r>
      <w:r>
        <w:rPr>
          <w:rFonts w:hint="eastAsia" w:ascii="黑体" w:hAnsi="Times New Roman" w:eastAsia="黑体" w:cs="黑体"/>
          <w:color w:val="auto"/>
          <w:spacing w:val="20"/>
          <w:sz w:val="21"/>
          <w:szCs w:val="21"/>
          <w:highlight w:val="none"/>
        </w:rPr>
        <w:t xml:space="preserve">单帐篷</w:t>
      </w:r>
      <w:r/>
    </w:p>
    <w:p>
      <w:pPr>
        <w:jc w:val="center"/>
        <w:keepLines w:val="0"/>
        <w:keepNext w:val="0"/>
        <w:pageBreakBefore w:val="0"/>
        <w:spacing w:line="300" w:lineRule="exact"/>
        <w:widowControl w:val="off"/>
        <w:rPr>
          <w:rFonts w:ascii="黑体" w:hAnsi="Times New Roman" w:eastAsia="黑体" w:cs="黑体"/>
          <w:color w:val="auto"/>
          <w:spacing w:val="20"/>
          <w:sz w:val="21"/>
          <w:szCs w:val="21"/>
          <w:highlight w:val="none"/>
        </w:rPr>
      </w:pPr>
      <w:r>
        <w:rPr>
          <w:rFonts w:hint="eastAsia" w:ascii="黑体" w:hAnsi="黑体" w:eastAsia="黑体" w:cs="宋体"/>
          <w:color w:val="auto"/>
          <w:spacing w:val="20"/>
          <w:sz w:val="21"/>
          <w:szCs w:val="21"/>
          <w:highlight w:val="none"/>
        </w:rPr>
        <w:t xml:space="preserve">×××××× </w:t>
      </w:r>
      <w:r>
        <w:rPr>
          <w:rFonts w:hint="eastAsia" w:ascii="黑体" w:hAnsi="Times New Roman" w:eastAsia="黑体" w:cs="黑体"/>
          <w:color w:val="auto"/>
          <w:spacing w:val="20"/>
          <w:sz w:val="21"/>
          <w:szCs w:val="21"/>
          <w:highlight w:val="none"/>
        </w:rPr>
        <w:t xml:space="preserve">承制</w:t>
      </w:r>
      <w:r/>
    </w:p>
    <w:p>
      <w:pPr>
        <w:jc w:val="center"/>
        <w:keepLines w:val="0"/>
        <w:keepNext w:val="0"/>
        <w:pageBreakBefore w:val="0"/>
        <w:spacing w:line="300" w:lineRule="exact"/>
        <w:widowControl w:val="off"/>
        <w:rPr>
          <w:rFonts w:ascii="黑体" w:hAnsi="Times New Roman" w:eastAsia="黑体" w:cs="黑体"/>
          <w:color w:val="auto"/>
          <w:spacing w:val="20"/>
          <w:sz w:val="21"/>
          <w:szCs w:val="21"/>
          <w:highlight w:val="none"/>
        </w:rPr>
      </w:pPr>
      <w:r>
        <w:rPr>
          <w:rFonts w:hint="eastAsia" w:ascii="黑体" w:hAnsi="黑体" w:eastAsia="黑体" w:cs="宋体"/>
          <w:color w:val="auto"/>
          <w:spacing w:val="20"/>
          <w:sz w:val="21"/>
          <w:szCs w:val="21"/>
          <w:highlight w:val="none"/>
        </w:rPr>
        <w:t xml:space="preserve">×××××× </w:t>
      </w:r>
      <w:r>
        <w:rPr>
          <w:rFonts w:hint="eastAsia" w:ascii="黑体" w:hAnsi="黑体" w:eastAsia="黑体" w:cs="宋体"/>
          <w:color w:val="auto"/>
          <w:spacing w:val="20"/>
          <w:sz w:val="21"/>
          <w:szCs w:val="21"/>
          <w:highlight w:val="none"/>
          <w:lang w:eastAsia="zh-CN"/>
        </w:rPr>
        <w:t xml:space="preserve">监</w:t>
      </w:r>
      <w:r>
        <w:rPr>
          <w:rFonts w:hint="eastAsia" w:ascii="黑体" w:hAnsi="Times New Roman" w:eastAsia="黑体" w:cs="黑体"/>
          <w:color w:val="auto"/>
          <w:spacing w:val="20"/>
          <w:sz w:val="21"/>
          <w:szCs w:val="21"/>
          <w:highlight w:val="none"/>
        </w:rPr>
        <w:t xml:space="preserve">制</w:t>
      </w:r>
      <w:r/>
    </w:p>
    <w:p>
      <w:pPr>
        <w:jc w:val="center"/>
        <w:keepLines w:val="0"/>
        <w:keepNext w:val="0"/>
        <w:pageBreakBefore w:val="0"/>
        <w:spacing w:line="300" w:lineRule="exact"/>
        <w:widowControl w:val="off"/>
        <w:rPr>
          <w:rFonts w:hint="eastAsia" w:ascii="黑体" w:hAnsi="黑体" w:eastAsia="黑体" w:cs="宋体"/>
          <w:color w:val="auto"/>
          <w:spacing w:val="20"/>
          <w:sz w:val="21"/>
          <w:szCs w:val="21"/>
          <w:highlight w:val="none"/>
          <w:lang w:eastAsia="zh-CN"/>
        </w:rPr>
      </w:pPr>
      <w:r>
        <w:rPr>
          <w:rFonts w:hint="eastAsia" w:ascii="黑体" w:hAnsi="黑体" w:eastAsia="黑体" w:cs="宋体"/>
          <w:color w:val="auto"/>
          <w:spacing w:val="20"/>
          <w:sz w:val="21"/>
          <w:szCs w:val="21"/>
          <w:highlight w:val="none"/>
          <w:lang w:eastAsia="zh-CN"/>
        </w:rPr>
        <w:t xml:space="preserve">生产批号</w:t>
      </w:r>
      <w:r/>
    </w:p>
    <w:p>
      <w:pPr>
        <w:jc w:val="center"/>
        <w:keepLines w:val="0"/>
        <w:keepNext w:val="0"/>
        <w:pageBreakBefore w:val="0"/>
        <w:spacing w:line="300" w:lineRule="exact"/>
        <w:widowControl w:val="off"/>
        <w:rPr>
          <w:rFonts w:hint="eastAsia" w:ascii="黑体" w:hAnsi="黑体" w:eastAsia="黑体" w:cs="宋体"/>
          <w:color w:val="auto"/>
          <w:sz w:val="21"/>
          <w:szCs w:val="21"/>
          <w:highlight w:val="none"/>
        </w:rPr>
      </w:pPr>
      <w:r>
        <w:rPr>
          <w:rFonts w:hint="eastAsia" w:ascii="黑体" w:hAnsi="黑体" w:eastAsia="黑体" w:cs="宋体"/>
          <w:color w:val="auto"/>
          <w:sz w:val="21"/>
          <w:szCs w:val="21"/>
          <w:highlight w:val="none"/>
        </w:rPr>
        <w:t xml:space="preserve">生产日期：××××</w:t>
      </w:r>
      <w:r>
        <w:rPr>
          <w:rFonts w:ascii="黑体" w:hAnsi="黑体" w:eastAsia="黑体" w:cs="宋体"/>
          <w:color w:val="auto"/>
          <w:sz w:val="21"/>
          <w:szCs w:val="21"/>
          <w:highlight w:val="none"/>
        </w:rPr>
        <w:t xml:space="preserve"> </w:t>
      </w:r>
      <w:r>
        <w:rPr>
          <w:rFonts w:hint="eastAsia" w:ascii="黑体" w:hAnsi="黑体" w:eastAsia="黑体" w:cs="宋体"/>
          <w:color w:val="auto"/>
          <w:sz w:val="21"/>
          <w:szCs w:val="21"/>
          <w:highlight w:val="none"/>
        </w:rPr>
        <w:t xml:space="preserve">年×月 共1包</w:t>
      </w:r>
      <w:r/>
    </w:p>
    <w:p>
      <w:pPr>
        <w:pStyle w:val="104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44"/>
        <w:ind w:firstLine="0"/>
        <w:jc w:val="center"/>
        <w:rPr>
          <w:rFonts w:hint="default" w:ascii="Times New Roman" w:hAnsi="Times New Roman" w:eastAsia="黑体" w:cs="Times New Roman"/>
          <w:color w:val="auto"/>
          <w:szCs w:val="21"/>
          <w:highlight w:val="none"/>
        </w:rPr>
      </w:pPr>
      <w:r>
        <w:rPr>
          <w:rFonts w:hint="default" w:ascii="Times New Roman" w:hAnsi="Times New Roman" w:eastAsia="黑体" w:cs="Times New Roman"/>
          <w:color w:val="auto"/>
          <w:szCs w:val="21"/>
          <w:highlight w:val="none"/>
        </w:rPr>
        <w:t xml:space="preserve">图3  产品标志</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印刷用油墨为织物油墨。印字为白色平头标准黑体字，印刷字迹清晰、工整、布局合理。</w:t>
      </w:r>
      <w:r/>
    </w:p>
    <w:p>
      <w:pPr>
        <w:pStyle w:val="1048"/>
        <w:numPr>
          <w:ilvl w:val="3"/>
          <w:numId w:val="10"/>
        </w:numPr>
        <w:ind w:left="567" w:hanging="567"/>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包装标志</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篷体</w:t>
      </w:r>
      <w:r>
        <w:rPr>
          <w:rFonts w:hint="default" w:ascii="Times New Roman" w:hAnsi="Times New Roman" w:eastAsia="宋体" w:cs="Times New Roman"/>
          <w:color w:val="auto"/>
          <w:szCs w:val="21"/>
          <w:highlight w:val="none"/>
        </w:rPr>
        <w:t xml:space="preserve">与框架一体化包装，内包装袋的一个侧面根据包形大小印刷白色“</w:t>
      </w:r>
      <w:r>
        <w:rPr>
          <w:rFonts w:hint="eastAsia" w:ascii="Times New Roman" w:eastAsia="宋体" w:cs="Times New Roman"/>
          <w:color w:val="auto"/>
          <w:szCs w:val="21"/>
          <w:highlight w:val="none"/>
          <w:lang w:eastAsia="zh-CN"/>
        </w:rPr>
        <w:t xml:space="preserve">救灾专用</w:t>
      </w:r>
      <w:r>
        <w:rPr>
          <w:rFonts w:hint="default" w:ascii="Times New Roman" w:hAnsi="Times New Roman" w:eastAsia="宋体" w:cs="Times New Roman"/>
          <w:color w:val="auto"/>
          <w:szCs w:val="21"/>
          <w:highlight w:val="none"/>
        </w:rPr>
        <w:t xml:space="preserve">12m</w:t>
      </w:r>
      <w:r>
        <w:rPr>
          <w:rFonts w:hint="default" w:ascii="Times New Roman" w:hAnsi="Times New Roman" w:eastAsia="宋体" w:cs="Times New Roman"/>
          <w:color w:val="auto"/>
          <w:szCs w:val="21"/>
          <w:highlight w:val="none"/>
          <w:vertAlign w:val="superscript"/>
        </w:rPr>
        <w:t xml:space="preserve">2</w:t>
      </w:r>
      <w:r>
        <w:rPr>
          <w:rFonts w:hint="default" w:ascii="Times New Roman" w:hAnsi="Times New Roman" w:eastAsia="宋体" w:cs="Times New Roman"/>
          <w:color w:val="auto"/>
          <w:szCs w:val="21"/>
          <w:highlight w:val="none"/>
        </w:rPr>
        <w:t xml:space="preserve">单帐篷”字样及数量、质量、体积、生产日期、“共1包”、生产批号、承制单位名称、监制单位名称等内容。其“12m</w:t>
      </w:r>
      <w:r>
        <w:rPr>
          <w:rFonts w:hint="default" w:ascii="Times New Roman" w:hAnsi="Times New Roman" w:eastAsia="宋体" w:cs="Times New Roman"/>
          <w:color w:val="auto"/>
          <w:szCs w:val="21"/>
          <w:highlight w:val="none"/>
          <w:vertAlign w:val="superscript"/>
        </w:rPr>
        <w:t xml:space="preserve">2</w:t>
      </w:r>
      <w:r>
        <w:rPr>
          <w:rFonts w:hint="default" w:ascii="Times New Roman" w:hAnsi="Times New Roman" w:eastAsia="宋体" w:cs="Times New Roman"/>
          <w:color w:val="auto"/>
          <w:szCs w:val="21"/>
          <w:highlight w:val="none"/>
        </w:rPr>
        <w:t xml:space="preserve">单帐篷”及承制单位名称、监制单位名称为黑体字，其它为宋体字。印刷布局合理，字体大小适宜，字迹清晰工整。</w:t>
      </w:r>
      <w:r>
        <w:rPr>
          <w:rFonts w:hint="default" w:ascii="Times New Roman" w:hAnsi="Times New Roman" w:eastAsia="宋体" w:cs="Times New Roman"/>
          <w:color w:val="auto"/>
          <w:highlight w:val="none"/>
        </w:rPr>
        <w:t xml:space="preserve">示例见图4。</w:t>
      </w:r>
      <w:r/>
    </w:p>
    <w:p>
      <w:pPr>
        <w:shd w:val="nil" w:color="auto"/>
        <w:rPr>
          <w:rFonts w:ascii="黑体" w:hAnsi="Times New Roman" w:eastAsia="黑体" w:cs="黑体"/>
          <w:color w:val="auto"/>
          <w:spacing w:val="20"/>
          <w:sz w:val="21"/>
          <w:szCs w:val="21"/>
          <w:highlight w:val="none"/>
        </w:rPr>
      </w:pPr>
      <w:r>
        <w:rPr>
          <w:rFonts w:hint="eastAsia" w:ascii="黑体" w:hAnsi="Times New Roman" w:eastAsia="黑体" w:cs="黑体"/>
          <w:color w:val="auto"/>
          <w:spacing w:val="20"/>
          <w:sz w:val="21"/>
          <w:szCs w:val="21"/>
          <w:highlight w:val="none"/>
        </w:rPr>
        <w:br w:type="page" w:clear="all"/>
      </w:r>
      <w:r>
        <w:rPr>
          <w:rFonts w:hint="eastAsia" w:ascii="黑体" w:hAnsi="Times New Roman" w:eastAsia="黑体" w:cs="黑体"/>
          <w:color w:val="auto"/>
          <w:spacing w:val="20"/>
          <w:sz w:val="21"/>
          <w:szCs w:val="21"/>
          <w:highlight w:val="none"/>
        </w:rPr>
      </w:r>
      <w:r/>
    </w:p>
    <w:p>
      <w:pPr>
        <w:jc w:val="center"/>
        <w:keepLines w:val="0"/>
        <w:keepNext w:val="0"/>
        <w:pageBreakBefore w:val="0"/>
        <w:spacing w:line="300" w:lineRule="exact"/>
        <w:widowControl w:val="off"/>
        <w:rPr>
          <w:rFonts w:hint="eastAsia" w:ascii="黑体" w:hAnsi="Times New Roman" w:eastAsia="黑体" w:cs="黑体"/>
          <w:color w:val="auto"/>
          <w:spacing w:val="20"/>
          <w:sz w:val="21"/>
          <w:szCs w:val="21"/>
          <w:highlight w:val="none"/>
        </w:rPr>
      </w:pPr>
      <w:r>
        <w:rPr>
          <w:rFonts w:hint="eastAsia" w:ascii="黑体" w:hAnsi="Times New Roman" w:eastAsia="黑体" w:cs="黑体"/>
          <w:color w:val="auto"/>
          <w:spacing w:val="20"/>
          <w:sz w:val="21"/>
          <w:szCs w:val="21"/>
          <w:highlight w:val="none"/>
        </w:rPr>
        <w:t xml:space="preserve">救灾专用12m</w:t>
      </w:r>
      <w:r>
        <w:rPr>
          <w:rFonts w:hint="eastAsia" w:ascii="黑体" w:hAnsi="Times New Roman" w:eastAsia="黑体" w:cs="黑体"/>
          <w:color w:val="auto"/>
          <w:spacing w:val="20"/>
          <w:sz w:val="21"/>
          <w:szCs w:val="21"/>
          <w:highlight w:val="none"/>
          <w:vertAlign w:val="superscript"/>
        </w:rPr>
        <w:t xml:space="preserve">2</w:t>
      </w:r>
      <w:r>
        <w:rPr>
          <w:rFonts w:hint="eastAsia" w:ascii="黑体" w:hAnsi="Times New Roman" w:eastAsia="黑体" w:cs="黑体"/>
          <w:color w:val="auto"/>
          <w:spacing w:val="20"/>
          <w:sz w:val="21"/>
          <w:szCs w:val="21"/>
          <w:highlight w:val="none"/>
        </w:rPr>
        <w:t xml:space="preserve">单帐篷</w:t>
      </w:r>
      <w:r/>
    </w:p>
    <w:p>
      <w:pPr>
        <w:jc w:val="center"/>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数量：1顶  质量：××kg</w:t>
      </w:r>
      <w:r/>
    </w:p>
    <w:p>
      <w:pPr>
        <w:jc w:val="center"/>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体积：××mm×××mm×××mm</w:t>
      </w:r>
      <w:r/>
    </w:p>
    <w:p>
      <w:pPr>
        <w:jc w:val="center"/>
        <w:keepLines w:val="0"/>
        <w:keepNext w:val="0"/>
        <w:pageBreakBefore w:val="0"/>
        <w:spacing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生产日期：×××× 年×月 共1包</w:t>
      </w:r>
      <w:r/>
    </w:p>
    <w:p>
      <w:pPr>
        <w:jc w:val="center"/>
        <w:keepLines w:val="0"/>
        <w:keepNext w:val="0"/>
        <w:pageBreakBefore w:val="0"/>
        <w:spacing w:line="300" w:lineRule="exact"/>
        <w:widowControl w:val="off"/>
        <w:rPr>
          <w:rFonts w:hint="eastAsia" w:ascii="宋体" w:hAnsi="宋体" w:eastAsia="宋体" w:cs="宋体"/>
          <w:color w:val="auto"/>
          <w:spacing w:val="20"/>
          <w:sz w:val="21"/>
          <w:szCs w:val="21"/>
          <w:highlight w:val="none"/>
          <w:lang w:eastAsia="zh-CN"/>
        </w:rPr>
      </w:pPr>
      <w:r>
        <w:rPr>
          <w:rFonts w:hint="eastAsia" w:ascii="宋体" w:hAnsi="宋体" w:eastAsia="宋体" w:cs="宋体"/>
          <w:color w:val="auto"/>
          <w:spacing w:val="20"/>
          <w:sz w:val="21"/>
          <w:szCs w:val="21"/>
          <w:highlight w:val="none"/>
          <w:lang w:eastAsia="zh-CN"/>
        </w:rPr>
        <w:t xml:space="preserve">生产批号</w:t>
      </w:r>
      <w:r/>
    </w:p>
    <w:p>
      <w:pPr>
        <w:jc w:val="center"/>
        <w:keepLines w:val="0"/>
        <w:keepNext w:val="0"/>
        <w:pageBreakBefore w:val="0"/>
        <w:spacing w:line="300" w:lineRule="exact"/>
        <w:widowControl w:val="off"/>
        <w:rPr>
          <w:rFonts w:ascii="黑体" w:hAnsi="Times New Roman" w:eastAsia="黑体" w:cs="黑体"/>
          <w:color w:val="auto"/>
          <w:spacing w:val="20"/>
          <w:sz w:val="21"/>
          <w:szCs w:val="21"/>
          <w:highlight w:val="none"/>
        </w:rPr>
      </w:pPr>
      <w:r>
        <w:rPr>
          <w:rFonts w:hint="eastAsia" w:ascii="黑体" w:hAnsi="黑体" w:eastAsia="黑体" w:cs="宋体"/>
          <w:color w:val="auto"/>
          <w:spacing w:val="20"/>
          <w:sz w:val="21"/>
          <w:szCs w:val="21"/>
          <w:highlight w:val="none"/>
        </w:rPr>
        <w:t xml:space="preserve">×××××× </w:t>
      </w:r>
      <w:r>
        <w:rPr>
          <w:rFonts w:hint="eastAsia" w:ascii="黑体" w:hAnsi="Times New Roman" w:eastAsia="黑体" w:cs="黑体"/>
          <w:color w:val="auto"/>
          <w:spacing w:val="20"/>
          <w:sz w:val="21"/>
          <w:szCs w:val="21"/>
          <w:highlight w:val="none"/>
        </w:rPr>
        <w:t xml:space="preserve">承制</w:t>
      </w:r>
      <w:bookmarkStart w:id="1154" w:name="_GoBack"/>
      <w:r/>
      <w:bookmarkEnd w:id="1154"/>
      <w:r/>
      <w:r/>
    </w:p>
    <w:p>
      <w:pPr>
        <w:jc w:val="center"/>
        <w:keepLines w:val="0"/>
        <w:keepNext w:val="0"/>
        <w:pageBreakBefore w:val="0"/>
        <w:spacing w:line="300" w:lineRule="exact"/>
        <w:widowControl w:val="off"/>
        <w:rPr>
          <w:rFonts w:ascii="黑体" w:hAnsi="Times New Roman" w:eastAsia="黑体" w:cs="黑体"/>
          <w:color w:val="auto"/>
          <w:spacing w:val="20"/>
          <w:sz w:val="21"/>
          <w:szCs w:val="21"/>
          <w:highlight w:val="none"/>
        </w:rPr>
      </w:pPr>
      <w:r>
        <w:rPr>
          <w:rFonts w:hint="eastAsia" w:ascii="黑体" w:hAnsi="黑体" w:eastAsia="黑体" w:cs="宋体"/>
          <w:color w:val="auto"/>
          <w:spacing w:val="20"/>
          <w:sz w:val="21"/>
          <w:szCs w:val="21"/>
          <w:highlight w:val="none"/>
        </w:rPr>
        <w:t xml:space="preserve">×××××× </w:t>
      </w:r>
      <w:r>
        <w:rPr>
          <w:rFonts w:hint="eastAsia" w:ascii="黑体" w:hAnsi="黑体" w:eastAsia="黑体" w:cs="宋体"/>
          <w:color w:val="auto"/>
          <w:spacing w:val="20"/>
          <w:sz w:val="21"/>
          <w:szCs w:val="21"/>
          <w:highlight w:val="none"/>
          <w:lang w:eastAsia="zh-CN"/>
        </w:rPr>
        <w:t xml:space="preserve">监</w:t>
      </w:r>
      <w:r>
        <w:rPr>
          <w:rFonts w:hint="eastAsia" w:ascii="黑体" w:hAnsi="Times New Roman" w:eastAsia="黑体" w:cs="黑体"/>
          <w:color w:val="auto"/>
          <w:spacing w:val="20"/>
          <w:sz w:val="21"/>
          <w:szCs w:val="21"/>
          <w:highlight w:val="none"/>
        </w:rPr>
        <w:t xml:space="preserve">制</w:t>
      </w:r>
      <w:r/>
    </w:p>
    <w:p>
      <w:pPr>
        <w:pStyle w:val="104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jc w:val="center"/>
        <w:rPr>
          <w:rFonts w:hint="default" w:ascii="Times New Roman" w:hAnsi="Times New Roman" w:eastAsia="黑体" w:cs="Times New Roman"/>
          <w:color w:val="auto"/>
          <w:szCs w:val="21"/>
          <w:highlight w:val="none"/>
        </w:rPr>
      </w:pPr>
      <w:r>
        <w:rPr>
          <w:rFonts w:hint="default" w:ascii="Times New Roman" w:hAnsi="Times New Roman" w:eastAsia="黑体" w:cs="Times New Roman"/>
          <w:color w:val="auto"/>
          <w:szCs w:val="21"/>
          <w:highlight w:val="none"/>
        </w:rPr>
        <w:t xml:space="preserve">图4  包装标志</w:t>
      </w:r>
      <w:r/>
    </w:p>
    <w:p>
      <w:pPr>
        <w:pStyle w:val="1044"/>
        <w:ind w:firstLine="0"/>
        <w:jc w:val="center"/>
        <w:rPr>
          <w:rFonts w:hint="default" w:ascii="Times New Roman" w:hAnsi="Times New Roman" w:eastAsia="黑体" w:cs="Times New Roman"/>
          <w:color w:val="auto"/>
          <w:szCs w:val="21"/>
          <w:highlight w:val="none"/>
        </w:rPr>
      </w:pPr>
      <w:r>
        <w:rPr>
          <w:rFonts w:hint="default" w:ascii="Times New Roman" w:hAnsi="Times New Roman" w:eastAsia="黑体" w:cs="Times New Roman"/>
          <w:color w:val="auto"/>
          <w:szCs w:val="21"/>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page">
                  <wp:posOffset>3192916</wp:posOffset>
                </wp:positionH>
                <wp:positionV relativeFrom="page">
                  <wp:posOffset>2968625</wp:posOffset>
                </wp:positionV>
                <wp:extent cx="1032510" cy="1172210"/>
                <wp:effectExtent l="0" t="0" r="8890" b="8890"/>
                <wp:wrapTopAndBottom/>
                <wp:docPr id="6" name="图片 217" descr="C:\Users\fydnkj11\AppData\Roaming\Tencent\Users\289182985\QQ\WinTemp\RichOle\8826K%)W[3AOP9V{QF`O3~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65143" name="图片 217" descr="C:\Users\fydnkj11\AppData\Roaming\Tencent\Users\289182985\QQ\WinTemp\RichOle\8826K%)W[3AOP9V{QF`O3~V.png"/>
                        <pic:cNvPicPr>
                          <a:picLocks noChangeAspect="1"/>
                        </pic:cNvPicPr>
                        <pic:nvPr/>
                      </pic:nvPicPr>
                      <pic:blipFill>
                        <a:blip r:embed="rId22"/>
                        <a:srcRect l="0" t="5797" r="0" b="5025"/>
                        <a:stretch/>
                      </pic:blipFill>
                      <pic:spPr bwMode="auto">
                        <a:xfrm>
                          <a:off x="0" y="0"/>
                          <a:ext cx="1032509" cy="11722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700224;o:allowoverlap:true;o:allowincell:true;mso-position-horizontal-relative:page;margin-left:251.4pt;mso-position-horizontal:absolute;mso-position-vertical-relative:page;margin-top:233.8pt;mso-position-vertical:absolute;width:81.3pt;height:92.3pt;mso-wrap-distance-left:9.0pt;mso-wrap-distance-top:0.0pt;mso-wrap-distance-right:9.0pt;mso-wrap-distance-bottom:0.0pt;" stroked="f">
                <v:path textboxrect="0,0,0,0"/>
                <w10:wrap type="topAndBottom"/>
                <v:imagedata r:id="rId22" o:title=""/>
              </v:shape>
            </w:pict>
          </mc:Fallback>
        </mc:AlternateContent>
      </w:r>
      <w:r>
        <w:rPr>
          <w:rFonts w:hint="default" w:ascii="Times New Roman" w:hAnsi="Times New Roman" w:eastAsia="黑体" w:cs="Times New Roman"/>
          <w:color w:val="auto"/>
          <w:szCs w:val="21"/>
          <w:highlight w:val="none"/>
        </w:rPr>
      </w:r>
      <w:r/>
    </w:p>
    <w:p>
      <w:pPr>
        <w:pStyle w:val="1044"/>
        <w:ind w:firstLine="3780"/>
        <w:rPr>
          <w:rFonts w:hint="default" w:ascii="Times New Roman" w:hAnsi="Times New Roman" w:eastAsia="黑体" w:cs="Times New Roman"/>
          <w:color w:val="auto"/>
          <w:szCs w:val="21"/>
          <w:highlight w:val="none"/>
        </w:rPr>
      </w:pPr>
      <w:r>
        <w:rPr>
          <w:rFonts w:hint="default" w:ascii="Times New Roman" w:hAnsi="Times New Roman" w:eastAsia="黑体" w:cs="Times New Roman"/>
          <w:color w:val="auto"/>
          <w:szCs w:val="21"/>
          <w:highlight w:val="none"/>
        </w:rPr>
        <w:t xml:space="preserve">图5 码垛标志</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外包装编织布的两个侧面的居中位置，印刷标志内容见图4。</w:t>
      </w:r>
      <w:bookmarkStart w:id="568" w:name="_Hlt65381832"/>
      <w:r/>
      <w:bookmarkEnd w:id="568"/>
      <w:r/>
      <w:bookmarkStart w:id="569" w:name="_Toc63672438"/>
      <w:r/>
      <w:bookmarkStart w:id="570" w:name="_Toc63651879"/>
      <w:r/>
      <w:bookmarkStart w:id="571" w:name="_Toc63652050"/>
      <w:r/>
      <w:bookmarkStart w:id="572" w:name="_Toc63583312"/>
      <w:r/>
      <w:bookmarkStart w:id="573" w:name="_Toc63652645"/>
      <w:r/>
      <w:bookmarkStart w:id="574" w:name="_Toc63650860"/>
      <w:r/>
      <w:bookmarkStart w:id="575" w:name="_Toc191462699"/>
      <w:r/>
      <w:bookmarkStart w:id="576" w:name="_Toc63583208"/>
      <w:r/>
      <w:bookmarkStart w:id="577" w:name="_Toc63652247"/>
      <w:r/>
      <w:bookmarkStart w:id="578" w:name="_Toc63484626"/>
      <w:r/>
      <w:bookmarkStart w:id="579" w:name="_Toc63652505"/>
      <w:r/>
      <w:bookmarkStart w:id="580" w:name="_Toc63651601"/>
      <w:r/>
      <w:bookmarkStart w:id="581" w:name="_Toc193103951"/>
      <w:r/>
      <w:bookmarkStart w:id="582" w:name="_Toc63650654"/>
      <w:r/>
      <w:bookmarkStart w:id="583" w:name="_Toc63651463"/>
      <w:r/>
      <w:bookmarkStart w:id="584" w:name="_Toc63652398"/>
      <w:r/>
      <w:bookmarkStart w:id="585" w:name="_Toc63652149"/>
      <w:r/>
      <w:bookmarkStart w:id="586" w:name="_Toc63651233"/>
      <w:r/>
      <w:bookmarkStart w:id="587" w:name="_Toc119817222"/>
      <w:r>
        <w:rPr>
          <w:rFonts w:hint="default" w:ascii="Times New Roman" w:hAnsi="Times New Roman" w:eastAsia="宋体" w:cs="Times New Roman"/>
          <w:color w:val="auto"/>
          <w:highlight w:val="none"/>
        </w:rPr>
        <w:t xml:space="preserve">外包装袋两个端面，印刷仓储码垛标志，印刷内容见图5。</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包装标志用织物油墨印刷，内包装用白色油墨，外包装用黑色油墨。</w:t>
      </w:r>
      <w:r/>
    </w:p>
    <w:p>
      <w:pPr>
        <w:pStyle w:val="1049"/>
        <w:numPr>
          <w:ilvl w:val="4"/>
          <w:numId w:val="10"/>
        </w:numPr>
        <w:ind w:left="840" w:hanging="420"/>
        <w:jc w:val="both"/>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应急标识：按照国家防灾减灾救灾委员会办公室应急管理部发布的《应急救灾物资标识推广使用指南》，增加并规范使用应急救灾物资标识。标识颜色分为彩色和白色两个版本。标识图案可单独使用，在特定面积内，设其高度为1，则标识高度比例为0.6：搭配“应急救灾”字样使用时，标识高度比例为0.8</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rPr>
        <w:t xml:space="preserve">示例见图</w:t>
      </w:r>
      <w:r>
        <w:rPr>
          <w:rFonts w:hint="eastAsia" w:ascii="Times New Roman" w:hAnsi="Times New Roman" w:eastAsia="宋体" w:cs="Times New Roman"/>
          <w:color w:val="auto"/>
          <w:highlight w:val="none"/>
          <w:lang w:val="en-US" w:eastAsia="zh-CN"/>
        </w:rPr>
        <w:t xml:space="preserve">6</w:t>
      </w:r>
      <w:r>
        <w:rPr>
          <w:rFonts w:hint="eastAsia" w:ascii="Times New Roman" w:hAnsi="Times New Roman" w:eastAsia="宋体" w:cs="Times New Roman"/>
          <w:color w:val="auto"/>
          <w:highlight w:val="none"/>
        </w:rPr>
        <w:t xml:space="preserve">。</w:t>
      </w:r>
      <w:r/>
    </w:p>
    <w:p>
      <w:pPr>
        <w:pStyle w:val="1044"/>
        <w:ind w:left="0" w:firstLine="0"/>
        <w:rPr>
          <w:rFonts w:hint="eastAsia" w:eastAsia="宋体"/>
          <w:highlight w:val="none"/>
          <w:lang w:eastAsia="zh-CN"/>
        </w:rPr>
      </w:pPr>
      <w:r>
        <w:rPr>
          <w:rFonts w:hint="eastAsia" w:eastAsia="宋体"/>
          <w:highlight w:val="none"/>
          <w:lang w:eastAsia="zh-CN"/>
        </w:rPr>
      </w:r>
      <w:r/>
    </w:p>
    <w:p>
      <w:pPr>
        <w:pStyle w:val="1044"/>
        <w:ind w:left="0" w:firstLine="0"/>
        <w:jc w:val="center"/>
        <w:rPr>
          <w:rFonts w:hint="eastAsia" w:eastAsia="宋体"/>
          <w:highlight w:val="none"/>
          <w:lang w:eastAsia="zh-CN"/>
        </w:rPr>
      </w:pPr>
      <w:r>
        <w:rPr>
          <w:rFonts w:hint="eastAsia" w:eastAsia="宋体"/>
          <w:highlight w:val="none"/>
          <w:lang w:eastAsia="zh-CN"/>
        </w:rPr>
      </w:r>
      <w:r/>
    </w:p>
    <w:p>
      <w:pPr>
        <w:pStyle w:val="1044"/>
        <w:ind w:left="0" w:firstLine="0"/>
        <w:jc w:val="center"/>
        <w:rPr>
          <w:rFonts w:hint="eastAsia" w:eastAsia="宋体"/>
          <w:highlight w:val="none"/>
          <w:lang w:eastAsia="zh-CN"/>
        </w:rPr>
      </w:pPr>
      <w:r>
        <w:rPr>
          <w:rFonts w:hint="eastAsia" w:eastAsia="宋体"/>
          <w:highlight w:val="none"/>
          <w:lang w:eastAsia="zh-CN"/>
        </w:rPr>
        <mc:AlternateContent>
          <mc:Choice Requires="wpg">
            <w:drawing>
              <wp:inline xmlns:wp="http://schemas.openxmlformats.org/drawingml/2006/wordprocessingDrawing" distT="0" distB="0" distL="0" distR="0">
                <wp:extent cx="3927475" cy="3287395"/>
                <wp:effectExtent l="0" t="0" r="9525" b="1905"/>
                <wp:docPr id="7" name="图片 60" descr="d3738cf238598db6fc42ac72305b63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d3738cf238598db6fc42ac72305b636f"/>
                        <pic:cNvPicPr>
                          <a:picLocks noChangeAspect="1"/>
                        </pic:cNvPicPr>
                        <pic:nvPr/>
                      </pic:nvPicPr>
                      <pic:blipFill>
                        <a:blip r:embed="rId23"/>
                        <a:srcRect l="0" t="0" r="41839" b="15888"/>
                        <a:stretch/>
                      </pic:blipFill>
                      <pic:spPr bwMode="auto">
                        <a:xfrm>
                          <a:off x="0" y="0"/>
                          <a:ext cx="3927475" cy="328739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9.2pt;height:258.8pt;mso-wrap-distance-left:0.0pt;mso-wrap-distance-top:0.0pt;mso-wrap-distance-right:0.0pt;mso-wrap-distance-bottom:0.0pt;" stroked="f">
                <v:path textboxrect="0,0,0,0"/>
                <v:imagedata r:id="rId23" o:title=""/>
              </v:shape>
            </w:pict>
          </mc:Fallback>
        </mc:AlternateContent>
      </w:r>
      <w:r/>
    </w:p>
    <w:p>
      <w:pPr>
        <w:pStyle w:val="1044"/>
        <w:ind w:left="0" w:firstLine="0"/>
        <w:jc w:val="center"/>
        <w:rPr>
          <w:rFonts w:hint="eastAsia" w:ascii="Times New Roman" w:hAnsi="Times New Roman" w:eastAsia="黑体" w:cs="Times New Roman"/>
          <w:color w:val="auto"/>
          <w:szCs w:val="21"/>
          <w:highlight w:val="none"/>
          <w:lang w:val="en-US" w:eastAsia="zh-CN"/>
        </w:rPr>
      </w:pPr>
      <w:r>
        <w:rPr>
          <w:rFonts w:hint="eastAsia" w:ascii="Times New Roman" w:hAnsi="Times New Roman" w:eastAsia="黑体" w:cs="Times New Roman"/>
          <w:color w:val="auto"/>
          <w:szCs w:val="21"/>
          <w:highlight w:val="none"/>
          <w:lang w:eastAsia="zh-CN"/>
        </w:rPr>
        <w:t xml:space="preserve">图</w:t>
      </w:r>
      <w:r>
        <w:rPr>
          <w:rFonts w:hint="eastAsia" w:ascii="Times New Roman" w:hAnsi="Times New Roman" w:eastAsia="黑体" w:cs="Times New Roman"/>
          <w:color w:val="auto"/>
          <w:szCs w:val="21"/>
          <w:highlight w:val="none"/>
          <w:lang w:val="en-US" w:eastAsia="zh-CN"/>
        </w:rPr>
        <w:t xml:space="preserve">6  </w:t>
      </w:r>
      <w:r>
        <w:rPr>
          <w:rFonts w:hint="eastAsia" w:ascii="Times New Roman" w:hAnsi="Times New Roman" w:eastAsia="黑体" w:cs="Times New Roman"/>
          <w:color w:val="auto"/>
          <w:szCs w:val="21"/>
          <w:highlight w:val="none"/>
        </w:rPr>
        <w:t xml:space="preserve">应急救灾物资标识</w:t>
      </w:r>
      <w:r>
        <w:rPr>
          <w:rFonts w:hint="eastAsia" w:ascii="Times New Roman" w:eastAsia="黑体" w:cs="Times New Roman"/>
          <w:color w:val="auto"/>
          <w:szCs w:val="21"/>
          <w:highlight w:val="none"/>
          <w:lang w:eastAsia="zh-CN"/>
        </w:rPr>
        <w:t xml:space="preserve">及颜色要求</w:t>
      </w:r>
      <w:r/>
    </w:p>
    <w:p>
      <w:pPr>
        <w:pStyle w:val="1044"/>
        <w:rPr>
          <w:rFonts w:hint="default"/>
        </w:rPr>
      </w:pPr>
      <w:r>
        <w:rPr>
          <w:rFonts w:hint="default"/>
        </w:rPr>
      </w:r>
      <w:r/>
    </w:p>
    <w:p>
      <w:pPr>
        <w:pStyle w:val="1048"/>
        <w:numPr>
          <w:ilvl w:val="3"/>
          <w:numId w:val="10"/>
        </w:numPr>
        <w:ind w:left="0" w:hanging="7"/>
        <w:jc w:val="both"/>
        <w:rPr>
          <w:rStyle w:val="1050"/>
          <w:rFonts w:hint="default" w:ascii="Times New Roman" w:hAnsi="Times New Roman" w:cs="Times New Roman"/>
          <w:color w:val="auto"/>
          <w:highlight w:val="none"/>
        </w:rPr>
      </w:pPr>
      <w:r>
        <w:rPr>
          <w:rStyle w:val="1050"/>
          <w:rFonts w:hint="default" w:ascii="Times New Roman" w:hAnsi="Times New Roman" w:cs="Times New Roman"/>
          <w:color w:val="auto"/>
          <w:highlight w:val="none"/>
        </w:rPr>
        <w:t xml:space="preserve">其它标志</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帐篷配置国旗标识及“中国CHINA”标志。帐篷门口左侧“救”字上方和帐篷两侧墙的两个窗户居中位置插袋中配置国旗标志，国旗标志要求见附录E。在帐篷有门山墙的门上方中间位置设置“中国 CHINA”标志，标志长800mm，宽150mm，要求见附录F。</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帐篷配置编号插袋。帐篷门口右侧“灾”字上方配置编号插袋，使用过程中放置编号。</w:t>
      </w:r>
      <w:r/>
    </w:p>
    <w:p>
      <w:pPr>
        <w:pStyle w:val="1049"/>
        <w:numPr>
          <w:ilvl w:val="4"/>
          <w:numId w:val="10"/>
        </w:numPr>
        <w:ind w:left="840" w:hanging="42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在篷体的空白水洗标上张贴救灾物资二维条码，二维条码于包装前紧贴于水洗标居中位置，在外包装袋两个端面的仓储码垛标志旁粘贴二维条码，具体要求见附录G。</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5"/>
        <w:numPr>
          <w:ilvl w:val="2"/>
          <w:numId w:val="10"/>
        </w:numPr>
        <w:ind w:left="0" w:firstLine="0"/>
        <w:jc w:val="both"/>
        <w:rPr>
          <w:rFonts w:hint="default" w:ascii="Times New Roman" w:hAnsi="Times New Roman" w:cs="Times New Roman"/>
          <w:color w:val="auto"/>
          <w:highlight w:val="none"/>
        </w:rPr>
      </w:pPr>
      <w:r/>
      <w:bookmarkStart w:id="588" w:name="_Toc339004724"/>
      <w:r>
        <w:rPr>
          <w:rFonts w:hint="default" w:ascii="Times New Roman" w:hAnsi="Times New Roman" w:cs="Times New Roman"/>
          <w:color w:val="auto"/>
          <w:highlight w:val="none"/>
        </w:rPr>
        <w:t xml:space="preserve">包装</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帐篷内包装袋采用28×2/28×2天蓝色涤纶防水帆布缝制。包装袋为两仓结构，两端面内衬硬质防碰撞缓冲材料。篷体和纱围折叠后放入内包装袋中的左仓内，框架放入右仓内。包装袋用双拉头尼龙拉链扣合，包装袋的尺寸为1830mm×300×240mm（长×宽×高），包装袋左右仓开口长度为240mm+1830mm+240mm（高+长+高）。框架包装用两个Φ</w:t>
      </w:r>
      <w:r>
        <w:rPr>
          <w:rFonts w:hint="eastAsia" w:ascii="Times New Roman" w:eastAsia="宋体" w:cs="Times New Roman"/>
          <w:color w:val="auto"/>
          <w:highlight w:val="none"/>
          <w:lang w:val="en-US" w:eastAsia="zh-CN"/>
        </w:rPr>
        <w:t xml:space="preserve">5</w:t>
      </w:r>
      <w:r>
        <w:rPr>
          <w:rFonts w:hint="default" w:ascii="Times New Roman" w:hAnsi="Times New Roman" w:eastAsia="宋体" w:cs="Times New Roman"/>
          <w:color w:val="auto"/>
          <w:highlight w:val="none"/>
        </w:rPr>
        <w:t xml:space="preserve">mm喷塑钢丝固定框固定杆件和配件，三角桩用面料缝制的小包装袋包装，袋口束紧后放入框内。固定框示意图见附录C中图C.5，。包装袋侧面采用28×4/50mm×1.8mm天蓝涤纶线缝制两条带可调节的手提或肩背两用带，两条背带应从包装袋底部兜过，两条背带中间距为500mm。每条背带缝制一个塑料插扣和三道梁。见附录A图A.13。</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外包装用塑料编织布缝制，缝线不得少于两道线，外包装袋在一侧长向缝制一条拉链，拉链长为240mm+1830mm+240mm，另一侧在内包装袋两条束紧带对应的地方开一条长度为600mm的拉链口，背带从两侧拉链口中穿出。外包装袋两个端面，印刷仓储码垛标志，印刷内容见图5。用Φ7mm捆包绳捆扎两道成“││”形，每道两条绳并排，捆扎应牢固、严紧，外包装外观应方正平展。</w:t>
      </w:r>
      <w:r/>
    </w:p>
    <w:p>
      <w:pPr>
        <w:pStyle w:val="1048"/>
        <w:numPr>
          <w:ilvl w:val="3"/>
          <w:numId w:val="10"/>
        </w:numPr>
        <w:ind w:left="0" w:hanging="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包装袋内需放入产品检验单、产品包装单和帐篷使用说明书各一份。检验单样式见图</w:t>
      </w:r>
      <w:r>
        <w:rPr>
          <w:rFonts w:hint="eastAsia" w:ascii="Times New Roman" w:eastAsia="宋体" w:cs="Times New Roman"/>
          <w:color w:val="auto"/>
          <w:highlight w:val="none"/>
          <w:lang w:val="en-US" w:eastAsia="zh-CN"/>
        </w:rPr>
        <w:t xml:space="preserve">7</w:t>
      </w:r>
      <w:r>
        <w:rPr>
          <w:rFonts w:hint="default" w:ascii="Times New Roman" w:hAnsi="Times New Roman" w:eastAsia="宋体" w:cs="Times New Roman"/>
          <w:color w:val="auto"/>
          <w:highlight w:val="none"/>
        </w:rPr>
        <w:t xml:space="preserve">，其中“检验单”、“产品名称”、“品等” 、“生产日期”、“检验人员”和“承制单位名称”标题为黑体字，其他为宋体字。检验单规格为B5纸的1/4，字体大小适宜。帐篷使用说明书需注明帐篷组装、拆卸方法等内容。产品包装单见附录H，帐篷使用说明书见附录I。</w:t>
      </w:r>
      <w:r/>
    </w:p>
    <w:p>
      <w:pPr>
        <w:pStyle w:val="104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04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1632585</wp:posOffset>
                </wp:positionH>
                <wp:positionV relativeFrom="paragraph">
                  <wp:posOffset>39856</wp:posOffset>
                </wp:positionV>
                <wp:extent cx="2204085" cy="1500505"/>
                <wp:effectExtent l="0" t="0" r="5715" b="10795"/>
                <wp:wrapTopAndBottom/>
                <wp:docPr id="8" name="图片 216" descr="帐篷检验单 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496689" name="图片 216" descr="帐篷检验单 09"/>
                        <pic:cNvPicPr>
                          <a:picLocks noChangeAspect="1"/>
                        </pic:cNvPicPr>
                        <pic:nvPr/>
                      </pic:nvPicPr>
                      <pic:blipFill>
                        <a:blip r:embed="rId24"/>
                        <a:srcRect l="900" t="871" r="52576" b="71925"/>
                        <a:stretch/>
                      </pic:blipFill>
                      <pic:spPr bwMode="auto">
                        <a:xfrm>
                          <a:off x="0" y="0"/>
                          <a:ext cx="2204084" cy="1500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701248;o:allowoverlap:true;o:allowincell:true;mso-position-horizontal-relative:text;margin-left:128.5pt;mso-position-horizontal:absolute;mso-position-vertical-relative:text;margin-top:3.1pt;mso-position-vertical:absolute;width:173.5pt;height:118.1pt;mso-wrap-distance-left:9.0pt;mso-wrap-distance-top:0.0pt;mso-wrap-distance-right:9.0pt;mso-wrap-distance-bottom:0.0pt;" stroked="f">
                <v:path textboxrect="0,0,0,0"/>
                <w10:wrap type="topAndBottom"/>
                <v:imagedata r:id="rId24" o:title=""/>
              </v:shape>
            </w:pict>
          </mc:Fallback>
        </mc:AlternateContent>
      </w:r>
      <w:r>
        <w:rPr>
          <w:rFonts w:hint="default" w:ascii="Times New Roman" w:hAnsi="Times New Roman" w:eastAsia="宋体" w:cs="Times New Roman"/>
          <w:color w:val="auto"/>
          <w:highlight w:val="none"/>
        </w:rPr>
      </w:r>
      <w:r/>
    </w:p>
    <w:p>
      <w:pPr>
        <w:pStyle w:val="1044"/>
        <w:rPr>
          <w:rFonts w:hint="default" w:ascii="Times New Roman" w:hAnsi="Times New Roman" w:cs="Times New Roman"/>
          <w:color w:val="auto"/>
          <w:highlight w:val="none"/>
        </w:rPr>
      </w:pPr>
      <w:r>
        <w:rPr>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jc w:val="center"/>
        <w:spacing w:before="156" w:after="156"/>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w:t>
      </w:r>
      <w:r>
        <w:rPr>
          <w:rFonts w:hint="eastAsia" w:ascii="Times New Roman" w:eastAsia="黑体" w:cs="Times New Roman"/>
          <w:color w:val="auto"/>
          <w:highlight w:val="none"/>
          <w:lang w:val="en-US" w:eastAsia="zh-CN"/>
        </w:rPr>
        <w:t xml:space="preserve">7</w:t>
      </w:r>
      <w:r>
        <w:rPr>
          <w:rFonts w:hint="default" w:ascii="Times New Roman" w:hAnsi="Times New Roman" w:eastAsia="黑体" w:cs="Times New Roman"/>
          <w:color w:val="auto"/>
          <w:highlight w:val="none"/>
          <w:lang w:val="en-US" w:eastAsia="zh-CN"/>
        </w:rPr>
        <w:t xml:space="preserve"> </w:t>
      </w:r>
      <w:r>
        <w:rPr>
          <w:rFonts w:hint="default" w:ascii="Times New Roman" w:hAnsi="Times New Roman" w:eastAsia="黑体" w:cs="Times New Roman"/>
          <w:color w:val="auto"/>
          <w:highlight w:val="none"/>
        </w:rPr>
        <w:t xml:space="preserve">检验单样式</w:t>
      </w:r>
      <w:r/>
    </w:p>
    <w:p>
      <w:pPr>
        <w:pStyle w:val="1048"/>
        <w:numPr>
          <w:ilvl w:val="3"/>
          <w:numId w:val="10"/>
        </w:numPr>
        <w:ind w:left="567" w:hanging="567"/>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另行包装</w:t>
      </w:r>
      <w:r/>
    </w:p>
    <w:p>
      <w:pPr>
        <w:pStyle w:val="1044"/>
        <w:spacing w:line="32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当订购方对包装形式另有要求时，按订购方要求办理。</w:t>
      </w:r>
      <w:r/>
    </w:p>
    <w:p>
      <w:pPr>
        <w:pStyle w:val="1045"/>
        <w:numPr>
          <w:ilvl w:val="2"/>
          <w:numId w:val="10"/>
        </w:numPr>
        <w:ind w:left="0" w:firstLine="0"/>
        <w:rPr>
          <w:rFonts w:hint="default" w:ascii="Times New Roman" w:hAnsi="Times New Roman" w:eastAsia="宋体" w:cs="Times New Roman"/>
          <w:color w:val="auto"/>
          <w:highlight w:val="none"/>
        </w:rPr>
      </w:pPr>
      <w:r/>
      <w:bookmarkStart w:id="589" w:name="_Toc63652248"/>
      <w:r/>
      <w:bookmarkStart w:id="590" w:name="_Toc63583313"/>
      <w:r/>
      <w:bookmarkStart w:id="591" w:name="_Toc193103952"/>
      <w:r/>
      <w:bookmarkStart w:id="592" w:name="_Toc63672439"/>
      <w:r/>
      <w:bookmarkStart w:id="593" w:name="_Toc63650655"/>
      <w:r/>
      <w:bookmarkStart w:id="594" w:name="_Toc63651602"/>
      <w:r/>
      <w:bookmarkStart w:id="595" w:name="_Toc63652051"/>
      <w:r/>
      <w:bookmarkStart w:id="596" w:name="_Toc119817223"/>
      <w:r/>
      <w:bookmarkStart w:id="597" w:name="_Toc63652646"/>
      <w:r/>
      <w:bookmarkStart w:id="598" w:name="_Toc339004725"/>
      <w:r/>
      <w:bookmarkStart w:id="599" w:name="_Toc63652399"/>
      <w:r/>
      <w:bookmarkStart w:id="600" w:name="_Toc63651464"/>
      <w:r/>
      <w:bookmarkStart w:id="601" w:name="_Toc63652150"/>
      <w:r/>
      <w:bookmarkStart w:id="602" w:name="_Toc63651234"/>
      <w:r/>
      <w:bookmarkStart w:id="603" w:name="_Toc63583209"/>
      <w:r/>
      <w:bookmarkStart w:id="604" w:name="_Toc63484627"/>
      <w:r/>
      <w:bookmarkStart w:id="605" w:name="_Toc63651880"/>
      <w:r/>
      <w:bookmarkStart w:id="606" w:name="_Toc191462700"/>
      <w:r/>
      <w:bookmarkStart w:id="607" w:name="_Toc63650861"/>
      <w:r/>
      <w:bookmarkStart w:id="608" w:name="_Toc63652506"/>
      <w:r>
        <w:rPr>
          <w:rFonts w:hint="default" w:ascii="Times New Roman" w:hAnsi="Times New Roman" w:eastAsia="宋体" w:cs="Times New Roman"/>
          <w:color w:val="auto"/>
          <w:highlight w:val="none"/>
        </w:rPr>
        <w:t xml:space="preserve">运输与贮存</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包装件在运输、贮存中严禁露天堆放，不得日晒雨淋。搬运、装卸过程中严禁抛摔。</w:t>
      </w:r>
      <w:r/>
    </w:p>
    <w:p>
      <w:pPr>
        <w:pStyle w:val="1048"/>
        <w:numPr>
          <w:ilvl w:val="3"/>
          <w:numId w:val="10"/>
        </w:numPr>
        <w:ind w:left="567" w:hanging="56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贮存包装件的仓库必须通风干燥，相对湿度不得超过80%。</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3"/>
        <w:numPr>
          <w:ilvl w:val="1"/>
          <w:numId w:val="10"/>
        </w:numPr>
        <w:ind w:left="556" w:hanging="556"/>
        <w:spacing w:before="312" w:after="312"/>
        <w:rPr>
          <w:rFonts w:hint="default" w:ascii="Times New Roman" w:hAnsi="Times New Roman" w:cs="Times New Roman"/>
          <w:color w:val="auto"/>
          <w:highlight w:val="none"/>
        </w:rPr>
      </w:pPr>
      <w:r/>
      <w:bookmarkStart w:id="609" w:name="_Toc441656605"/>
      <w:r/>
      <w:bookmarkStart w:id="610" w:name="_Toc469239307"/>
      <w:r/>
      <w:bookmarkStart w:id="611" w:name="_Toc191462615"/>
      <w:r/>
      <w:bookmarkStart w:id="612" w:name="_Toc339004713"/>
      <w:r/>
      <w:bookmarkStart w:id="613" w:name="_Toc191462686"/>
      <w:r/>
      <w:bookmarkStart w:id="614" w:name="_Toc193103938"/>
      <w:r/>
      <w:bookmarkStart w:id="615" w:name="_Toc21826"/>
      <w:r/>
      <w:bookmarkStart w:id="616" w:name="_Toc418769768"/>
      <w:r/>
      <w:bookmarkStart w:id="617" w:name="_Toc2512"/>
      <w:r>
        <w:rPr>
          <w:rFonts w:hint="default" w:ascii="Times New Roman" w:hAnsi="Times New Roman" w:cs="Times New Roman"/>
          <w:color w:val="auto"/>
          <w:highlight w:val="none"/>
        </w:rPr>
        <w:t xml:space="preserve">检验规则</w:t>
      </w:r>
      <w:bookmarkEnd w:id="609"/>
      <w:r/>
      <w:bookmarkEnd w:id="610"/>
      <w:r/>
      <w:r/>
    </w:p>
    <w:p>
      <w:pPr>
        <w:pStyle w:val="1045"/>
        <w:numPr>
          <w:ilvl w:val="2"/>
          <w:numId w:val="10"/>
        </w:numPr>
        <w:ind w:left="0" w:firstLine="0"/>
        <w:rPr>
          <w:rFonts w:hint="default" w:ascii="Times New Roman" w:hAnsi="Times New Roman" w:eastAsia="宋体" w:cs="Times New Roman"/>
          <w:color w:val="auto"/>
          <w:highlight w:val="none"/>
        </w:rPr>
      </w:pPr>
      <w:r/>
      <w:bookmarkStart w:id="618" w:name="_Toc469239308"/>
      <w:r>
        <w:rPr>
          <w:rFonts w:hint="default" w:ascii="Times New Roman" w:hAnsi="Times New Roman" w:eastAsia="宋体" w:cs="Times New Roman"/>
          <w:color w:val="auto"/>
          <w:highlight w:val="none"/>
        </w:rPr>
        <w:t xml:space="preserve">基本原则</w:t>
      </w:r>
      <w:bookmarkEnd w:id="618"/>
      <w:r/>
      <w:r/>
    </w:p>
    <w:p>
      <w:pPr>
        <w:pStyle w:val="1048"/>
        <w:numPr>
          <w:ilvl w:val="3"/>
          <w:numId w:val="0"/>
        </w:numPr>
        <w:ind w:left="14"/>
        <w:spacing w:before="156" w:after="156" w:line="360" w:lineRule="exact"/>
        <w:rPr>
          <w:rFonts w:hint="default" w:ascii="Times New Roman" w:hAnsi="Times New Roman" w:eastAsia="宋体" w:cs="Times New Roman"/>
          <w:color w:val="auto"/>
          <w:highlight w:val="none"/>
        </w:rPr>
        <w:outlineLvl w:val="9"/>
      </w:pPr>
      <w:r>
        <w:rPr>
          <w:rFonts w:hint="default" w:ascii="Times New Roman" w:hAnsi="Times New Roman" w:cs="Times New Roman"/>
          <w:color w:val="auto"/>
          <w:highlight w:val="none"/>
        </w:rPr>
        <w:t xml:space="preserve">6.1.1</w:t>
      </w:r>
      <w:r>
        <w:rPr>
          <w:rFonts w:hint="default" w:ascii="Times New Roman" w:hAnsi="Times New Roman" w:eastAsia="宋体" w:cs="Times New Roman"/>
          <w:color w:val="auto"/>
          <w:highlight w:val="none"/>
        </w:rPr>
        <w:t xml:space="preserve"> 承制单位在生产过程中，应按3.3的要求选用原材料、杆件及配件，并应周期性检验；对半成品、成品应逐个检验，并符合3.4～3.9的要求。</w:t>
      </w:r>
      <w:r/>
    </w:p>
    <w:p>
      <w:pPr>
        <w:pStyle w:val="1048"/>
        <w:numPr>
          <w:ilvl w:val="3"/>
          <w:numId w:val="0"/>
        </w:numPr>
        <w:ind w:left="14"/>
        <w:spacing w:before="156" w:after="156" w:line="360" w:lineRule="exact"/>
        <w:rPr>
          <w:rFonts w:hint="default" w:ascii="宋体" w:hAnsi="宋体" w:cs="宋体"/>
          <w:color w:val="auto"/>
          <w:highlight w:val="none"/>
        </w:rPr>
        <w:outlineLvl w:val="9"/>
      </w:pPr>
      <w:r>
        <w:rPr>
          <w:rFonts w:hint="default" w:ascii="Times New Roman" w:hAnsi="Times New Roman" w:cs="Times New Roman"/>
          <w:color w:val="auto"/>
          <w:highlight w:val="none"/>
        </w:rPr>
        <w:t xml:space="preserve">6.1.2  </w:t>
      </w:r>
      <w:r>
        <w:rPr>
          <w:rFonts w:hint="default" w:ascii="宋体" w:hAnsi="宋体" w:eastAsia="宋体" w:cs="宋体"/>
          <w:color w:val="auto"/>
          <w:highlight w:val="none"/>
        </w:rPr>
        <w:t xml:space="preserve">成品验收重点是成品加工质量、包装标志以及不受加工和包装影响的部分主要材料关键性能抽验。成品的外观质量和内在质量应符合表5和表6要求。</w:t>
      </w:r>
      <w:r>
        <w:rPr>
          <w:rFonts w:ascii="宋体" w:hAnsi="宋体" w:cs="宋体"/>
        </w:rPr>
      </w:r>
      <w:r/>
    </w:p>
    <w:p>
      <w:pPr>
        <w:pStyle w:val="1044"/>
        <w:ind w:firstLine="0"/>
        <w:rPr>
          <w:rFonts w:hint="default" w:ascii="Times New Roman" w:hAnsi="Times New Roman" w:cs="Times New Roman"/>
          <w:color w:val="auto"/>
          <w:highlight w:val="none"/>
        </w:rPr>
      </w:pPr>
      <w:r>
        <w:rPr>
          <w:rFonts w:hint="default" w:ascii="Times New Roman" w:hAnsi="Times New Roman" w:eastAsia="黑体" w:cs="Times New Roman"/>
          <w:color w:val="auto"/>
          <w:highlight w:val="none"/>
        </w:rPr>
        <w:t xml:space="preserve">6.1.3  </w:t>
      </w:r>
      <w:r>
        <w:rPr>
          <w:rFonts w:hint="default" w:ascii="Times New Roman" w:hAnsi="Times New Roman" w:cs="Times New Roman"/>
          <w:color w:val="auto"/>
          <w:highlight w:val="none"/>
        </w:rPr>
        <w:t xml:space="preserve">成品的外观质量和内在质量根据表5和表6进行，并满足相关要求。</w:t>
      </w:r>
      <w:r/>
    </w:p>
    <w:p>
      <w:pPr>
        <w:pStyle w:val="1045"/>
        <w:numPr>
          <w:ilvl w:val="2"/>
          <w:numId w:val="10"/>
        </w:numPr>
        <w:ind w:left="0" w:firstLine="0"/>
        <w:rPr>
          <w:rFonts w:hint="default" w:ascii="Times New Roman" w:hAnsi="Times New Roman" w:eastAsia="宋体" w:cs="Times New Roman"/>
          <w:color w:val="auto"/>
          <w:highlight w:val="none"/>
        </w:rPr>
      </w:pPr>
      <w:r/>
      <w:bookmarkStart w:id="619" w:name="_Toc469239309"/>
      <w:r>
        <w:rPr>
          <w:rFonts w:hint="default" w:ascii="Times New Roman" w:hAnsi="Times New Roman" w:eastAsia="宋体" w:cs="Times New Roman"/>
          <w:color w:val="auto"/>
          <w:highlight w:val="none"/>
        </w:rPr>
        <w:t xml:space="preserve">抽样</w:t>
      </w:r>
      <w:bookmarkEnd w:id="619"/>
      <w:r/>
      <w:r/>
    </w:p>
    <w:p>
      <w:pPr>
        <w:ind w:firstLine="420"/>
        <w:spacing w:line="360" w:lineRule="exact"/>
        <w:rPr>
          <w:rFonts w:hint="default" w:ascii="宋体" w:hAnsi="宋体" w:cs="宋体"/>
          <w:bCs/>
          <w:color w:val="auto"/>
          <w:szCs w:val="24"/>
          <w:highlight w:val="none"/>
        </w:rPr>
      </w:pPr>
      <w:r>
        <w:rPr>
          <w:rFonts w:hint="default" w:ascii="宋体" w:hAnsi="宋体" w:eastAsia="宋体" w:cs="宋体"/>
          <w:bCs/>
          <w:color w:val="auto"/>
          <w:szCs w:val="24"/>
          <w:highlight w:val="none"/>
        </w:rPr>
        <w:t xml:space="preserve">抽样方法为随机抽样，检验数量为1%。原材料、杆件及配件理化性能的检验按实际需要取样。</w:t>
      </w:r>
      <w:r>
        <w:rPr>
          <w:rFonts w:ascii="宋体" w:hAnsi="宋体" w:cs="宋体"/>
        </w:rPr>
      </w:r>
      <w:r/>
    </w:p>
    <w:p>
      <w:pPr>
        <w:pStyle w:val="1045"/>
        <w:numPr>
          <w:ilvl w:val="2"/>
          <w:numId w:val="10"/>
        </w:numPr>
        <w:ind w:left="0" w:firstLine="0"/>
        <w:rPr>
          <w:rFonts w:hint="default" w:ascii="Times New Roman" w:hAnsi="Times New Roman" w:eastAsia="宋体" w:cs="Times New Roman"/>
          <w:color w:val="auto"/>
          <w:highlight w:val="none"/>
        </w:rPr>
      </w:pPr>
      <w:r/>
      <w:bookmarkStart w:id="620" w:name="_Toc469239310"/>
      <w:r>
        <w:rPr>
          <w:rFonts w:hint="default" w:ascii="Times New Roman" w:hAnsi="Times New Roman" w:eastAsia="宋体" w:cs="Times New Roman"/>
          <w:color w:val="auto"/>
          <w:highlight w:val="none"/>
        </w:rPr>
        <w:t xml:space="preserve">检验项目</w:t>
      </w:r>
      <w:bookmarkEnd w:id="620"/>
      <w:r/>
      <w:r/>
    </w:p>
    <w:p>
      <w:pPr>
        <w:jc w:val="left"/>
        <w:spacing w:line="400" w:lineRule="exac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6.3.1  外观质量  </w:t>
      </w:r>
      <w:r>
        <w:rPr>
          <w:rFonts w:hint="default" w:ascii="Times New Roman" w:hAnsi="Times New Roman" w:eastAsia="仿宋" w:cs="Times New Roman"/>
          <w:color w:val="auto"/>
          <w:szCs w:val="24"/>
          <w:highlight w:val="none"/>
        </w:rPr>
        <w:t xml:space="preserve">   </w:t>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6.3.1.1  外观检验内容及要求</w:t>
      </w:r>
      <w:r/>
    </w:p>
    <w:p>
      <w:pPr>
        <w:ind w:firstLine="420"/>
        <w:jc w:val="left"/>
        <w:spacing w:line="400" w:lineRule="exact"/>
        <w:rPr>
          <w:rFonts w:hint="default" w:ascii="宋体" w:hAnsi="宋体" w:cs="宋体"/>
          <w:color w:val="auto"/>
          <w:highlight w:val="none"/>
        </w:rPr>
      </w:pPr>
      <w:r>
        <w:rPr>
          <w:rFonts w:hint="default" w:ascii="宋体" w:hAnsi="宋体" w:eastAsia="宋体" w:cs="宋体"/>
          <w:bCs/>
          <w:color w:val="auto"/>
          <w:szCs w:val="24"/>
          <w:highlight w:val="none"/>
        </w:rPr>
        <w:t xml:space="preserve">按3.1、3.2、3.4～3.8、5.1、5.2 条要求逐项检验，可</w:t>
      </w:r>
      <w:r>
        <w:rPr>
          <w:rFonts w:hint="default" w:ascii="宋体" w:hAnsi="宋体" w:eastAsia="宋体" w:cs="宋体"/>
          <w:color w:val="auto"/>
          <w:szCs w:val="24"/>
          <w:highlight w:val="none"/>
        </w:rPr>
        <w:t xml:space="preserve">按照表5规定进行检验。</w:t>
      </w:r>
      <w:r>
        <w:rPr>
          <w:rFonts w:ascii="宋体" w:hAnsi="宋体" w:cs="宋体"/>
        </w:rPr>
      </w:r>
      <w:r/>
    </w:p>
    <w:p>
      <w:pPr>
        <w:pStyle w:val="1047"/>
        <w:numPr>
          <w:ilvl w:val="0"/>
          <w:numId w:val="0"/>
        </w:numPr>
        <w:spacing w:before="156" w:after="156" w:line="4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表5 外观检验</w:t>
      </w:r>
      <w:r/>
    </w:p>
    <w:tbl>
      <w:tblPr>
        <w:tblStyle w:val="8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5"/>
        <w:gridCol w:w="2764"/>
        <w:gridCol w:w="4367"/>
      </w:tblGrid>
      <w:tr>
        <w:trPr>
          <w:cantSplit/>
          <w:trHeight w:val="284"/>
        </w:trPr>
        <w:tc>
          <w:tcPr>
            <w:tcBorders>
              <w:top w:val="single" w:color="auto" w:sz="12" w:space="0"/>
              <w:left w:val="single" w:color="auto" w:sz="12" w:space="0"/>
              <w:bottom w:val="single" w:color="auto" w:sz="12"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检验项目</w:t>
            </w:r>
            <w:r>
              <w:rPr>
                <w:rFonts w:ascii="宋体" w:hAnsi="宋体" w:cs="宋体"/>
              </w:rPr>
            </w:r>
            <w:r/>
          </w:p>
        </w:tc>
        <w:tc>
          <w:tcPr>
            <w:tcBorders>
              <w:top w:val="single" w:color="auto" w:sz="12" w:space="0"/>
              <w:left w:val="single" w:color="auto" w:sz="4" w:space="0"/>
              <w:bottom w:val="single" w:color="auto" w:sz="12"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要求</w:t>
            </w:r>
            <w:r>
              <w:rPr>
                <w:rFonts w:ascii="宋体" w:hAnsi="宋体" w:cs="宋体"/>
              </w:rPr>
            </w:r>
            <w:r/>
          </w:p>
        </w:tc>
        <w:tc>
          <w:tcPr>
            <w:tcBorders>
              <w:top w:val="single" w:color="auto" w:sz="12" w:space="0"/>
              <w:left w:val="single" w:color="auto" w:sz="4" w:space="0"/>
              <w:bottom w:val="single" w:color="auto" w:sz="12" w:space="0"/>
              <w:right w:val="single" w:color="auto" w:sz="12" w:space="0"/>
            </w:tcBorders>
            <w:tcW w:w="2359"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主要检验内容</w:t>
            </w:r>
            <w:r>
              <w:rPr>
                <w:rFonts w:ascii="宋体" w:hAnsi="宋体" w:cs="宋体"/>
              </w:rPr>
            </w:r>
            <w:r/>
          </w:p>
        </w:tc>
      </w:tr>
      <w:tr>
        <w:trPr>
          <w:cantSplit/>
          <w:trHeight w:val="284"/>
        </w:trPr>
        <w:tc>
          <w:tcPr>
            <w:tcBorders>
              <w:top w:val="single" w:color="auto" w:sz="12" w:space="0"/>
              <w:left w:val="single" w:color="auto" w:sz="12" w:space="0"/>
              <w:bottom w:val="single" w:color="auto" w:sz="4"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样式及主要尺寸</w:t>
            </w:r>
            <w:r>
              <w:rPr>
                <w:rFonts w:ascii="宋体" w:hAnsi="宋体" w:cs="宋体"/>
              </w:rPr>
            </w:r>
            <w:r/>
          </w:p>
        </w:tc>
        <w:tc>
          <w:tcPr>
            <w:tcBorders>
              <w:top w:val="single" w:color="auto" w:sz="12" w:space="0"/>
              <w:left w:val="single" w:color="auto" w:sz="4" w:space="0"/>
              <w:bottom w:val="single" w:color="auto" w:sz="4"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3.1、3.2</w:t>
            </w:r>
            <w:r>
              <w:rPr>
                <w:rFonts w:ascii="宋体" w:hAnsi="宋体" w:cs="宋体"/>
              </w:rPr>
            </w:r>
            <w:r/>
          </w:p>
        </w:tc>
        <w:tc>
          <w:tcPr>
            <w:tcBorders>
              <w:top w:val="single" w:color="auto" w:sz="12" w:space="0"/>
              <w:left w:val="single" w:color="auto" w:sz="4" w:space="0"/>
              <w:bottom w:val="single" w:color="auto" w:sz="4" w:space="0"/>
              <w:right w:val="single" w:color="auto" w:sz="12" w:space="0"/>
            </w:tcBorders>
            <w:tcW w:w="2359"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样式及成品主要规格尺寸</w:t>
            </w:r>
            <w:r>
              <w:rPr>
                <w:rFonts w:ascii="宋体" w:hAnsi="宋体" w:cs="宋体"/>
              </w:rPr>
            </w:r>
            <w:r/>
          </w:p>
        </w:tc>
      </w:tr>
      <w:tr>
        <w:trPr>
          <w:cantSplit/>
          <w:trHeight w:val="284"/>
        </w:trPr>
        <w:tc>
          <w:tcPr>
            <w:tcBorders>
              <w:top w:val="single" w:color="auto" w:sz="4" w:space="0"/>
              <w:left w:val="single" w:color="auto" w:sz="12" w:space="0"/>
              <w:bottom w:val="single" w:color="auto" w:sz="4"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颜色、缝制、外观等</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3.4、3.5、3.6</w:t>
            </w:r>
            <w:r>
              <w:rPr>
                <w:rFonts w:ascii="宋体" w:hAnsi="宋体" w:cs="宋体"/>
              </w:rPr>
            </w:r>
            <w:r/>
          </w:p>
        </w:tc>
        <w:tc>
          <w:tcPr>
            <w:tcBorders>
              <w:top w:val="single" w:color="auto" w:sz="4" w:space="0"/>
              <w:left w:val="single" w:color="auto" w:sz="4" w:space="0"/>
              <w:bottom w:val="single" w:color="auto" w:sz="4" w:space="0"/>
              <w:right w:val="single" w:color="auto" w:sz="12" w:space="0"/>
            </w:tcBorders>
            <w:tcW w:w="2359"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颜色、色差、篷体缝制及外观</w:t>
            </w:r>
            <w:r>
              <w:rPr>
                <w:rFonts w:ascii="宋体" w:hAnsi="宋体" w:cs="宋体"/>
              </w:rPr>
            </w:r>
            <w:r/>
          </w:p>
        </w:tc>
      </w:tr>
      <w:tr>
        <w:trPr>
          <w:cantSplit/>
          <w:trHeight w:val="284"/>
        </w:trPr>
        <w:tc>
          <w:tcPr>
            <w:tcBorders>
              <w:top w:val="single" w:color="auto" w:sz="4" w:space="0"/>
              <w:left w:val="single" w:color="auto" w:sz="12" w:space="0"/>
              <w:bottom w:val="single" w:color="auto" w:sz="4"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框架及金属配件</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3.7</w:t>
            </w:r>
            <w:r>
              <w:rPr>
                <w:rFonts w:ascii="宋体" w:hAnsi="宋体" w:cs="宋体"/>
              </w:rPr>
            </w:r>
            <w:r/>
          </w:p>
        </w:tc>
        <w:tc>
          <w:tcPr>
            <w:tcBorders>
              <w:top w:val="single" w:color="auto" w:sz="4" w:space="0"/>
              <w:left w:val="single" w:color="auto" w:sz="4" w:space="0"/>
              <w:bottom w:val="single" w:color="auto" w:sz="4" w:space="0"/>
              <w:right w:val="single" w:color="auto" w:sz="12" w:space="0"/>
            </w:tcBorders>
            <w:tcW w:w="2359"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框架外观及焊接、金属配件外观、尺寸</w:t>
            </w:r>
            <w:r>
              <w:rPr>
                <w:rFonts w:ascii="宋体" w:hAnsi="宋体" w:cs="宋体"/>
              </w:rPr>
            </w:r>
            <w:r/>
          </w:p>
        </w:tc>
      </w:tr>
      <w:tr>
        <w:trPr>
          <w:cantSplit/>
          <w:trHeight w:val="284"/>
        </w:trPr>
        <w:tc>
          <w:tcPr>
            <w:tcBorders>
              <w:top w:val="single" w:color="auto" w:sz="4" w:space="0"/>
              <w:left w:val="single" w:color="auto" w:sz="12" w:space="0"/>
              <w:bottom w:val="single" w:color="auto" w:sz="4"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辅料</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3.8</w:t>
            </w:r>
            <w:r>
              <w:rPr>
                <w:rFonts w:ascii="宋体" w:hAnsi="宋体" w:cs="宋体"/>
              </w:rPr>
            </w:r>
            <w:r/>
          </w:p>
        </w:tc>
        <w:tc>
          <w:tcPr>
            <w:tcBorders>
              <w:top w:val="single" w:color="auto" w:sz="4" w:space="0"/>
              <w:left w:val="single" w:color="auto" w:sz="4" w:space="0"/>
              <w:bottom w:val="single" w:color="auto" w:sz="4" w:space="0"/>
              <w:right w:val="single" w:color="auto" w:sz="12" w:space="0"/>
            </w:tcBorders>
            <w:tcW w:w="2359"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拉绳、绳头及带头、拉链、搭扣、胶条宽度</w:t>
            </w:r>
            <w:r>
              <w:rPr>
                <w:rFonts w:ascii="宋体" w:hAnsi="宋体" w:cs="宋体"/>
              </w:rPr>
            </w:r>
            <w:r/>
          </w:p>
        </w:tc>
      </w:tr>
      <w:tr>
        <w:trPr>
          <w:cantSplit/>
          <w:trHeight w:val="284"/>
        </w:trPr>
        <w:tc>
          <w:tcPr>
            <w:tcBorders>
              <w:top w:val="single" w:color="auto" w:sz="4" w:space="0"/>
              <w:left w:val="single" w:color="auto" w:sz="12" w:space="0"/>
              <w:bottom w:val="single" w:color="auto" w:sz="12" w:space="0"/>
              <w:right w:val="single" w:color="auto" w:sz="4" w:space="0"/>
            </w:tcBorders>
            <w:tcW w:w="1148"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包装及标志</w:t>
            </w:r>
            <w:r>
              <w:rPr>
                <w:rFonts w:ascii="宋体" w:hAnsi="宋体" w:cs="宋体"/>
              </w:rPr>
            </w:r>
            <w:r/>
          </w:p>
        </w:tc>
        <w:tc>
          <w:tcPr>
            <w:tcBorders>
              <w:top w:val="single" w:color="auto" w:sz="4" w:space="0"/>
              <w:left w:val="single" w:color="auto" w:sz="4" w:space="0"/>
              <w:bottom w:val="single" w:color="auto" w:sz="12" w:space="0"/>
              <w:right w:val="single" w:color="auto" w:sz="4" w:space="0"/>
            </w:tcBorders>
            <w:tcW w:w="1493" w:type="pct"/>
            <w:vAlign w:val="center"/>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按照5.1、5.2中相关外观规定</w:t>
            </w:r>
            <w:r>
              <w:rPr>
                <w:rFonts w:ascii="宋体" w:hAnsi="宋体" w:cs="宋体"/>
              </w:rPr>
            </w:r>
            <w:r/>
          </w:p>
        </w:tc>
        <w:tc>
          <w:tcPr>
            <w:tcBorders>
              <w:top w:val="single" w:color="auto" w:sz="4" w:space="0"/>
              <w:left w:val="single" w:color="auto" w:sz="4" w:space="0"/>
              <w:bottom w:val="single" w:color="auto" w:sz="12" w:space="0"/>
              <w:right w:val="single" w:color="auto" w:sz="12" w:space="0"/>
            </w:tcBorders>
            <w:tcW w:w="2359" w:type="pct"/>
            <w:vAlign w:val="center"/>
            <w:textDirection w:val="lrTb"/>
            <w:noWrap w:val="false"/>
          </w:tcPr>
          <w:p>
            <w:pPr>
              <w:jc w:val="center"/>
              <w:spacing w:line="32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标志内容及规格、印字、包装规格、牢固性、检验单、使用说明书、包装单</w:t>
            </w:r>
            <w:r>
              <w:rPr>
                <w:rFonts w:ascii="宋体" w:hAnsi="宋体" w:cs="宋体"/>
              </w:rPr>
            </w:r>
            <w:r/>
          </w:p>
        </w:tc>
      </w:tr>
    </w:tbl>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6.3.1.2  缺陷划分</w:t>
      </w:r>
      <w:r/>
    </w:p>
    <w:p>
      <w:pPr>
        <w:pStyle w:val="1044"/>
        <w:spacing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外观不符合附录N规定的技术要求，即构成缺陷，按其不符合标准和对产品使用性能及外观影响的程度记录缺陷程度和数量，缺陷分类表见附录N。轻缺陷指不影响使用功能的缺陷；重缺陷指通过换件小修可排除的缺陷；严重缺陷指影响帐篷使用功能应返厂维修的缺陷。</w:t>
      </w:r>
      <w:r/>
    </w:p>
    <w:p>
      <w:pPr>
        <w:pStyle w:val="1044"/>
        <w:ind w:firstLine="0"/>
        <w:spacing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a）严重缺陷：不符合标准规定、严重影响产品使用性能、严重影响产品外观的缺陷；</w:t>
      </w:r>
      <w:r/>
    </w:p>
    <w:p>
      <w:pPr>
        <w:pStyle w:val="1044"/>
        <w:ind w:firstLine="0"/>
        <w:spacing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b）重缺陷：对产品使用性能和产品外观影响不严重，但严重不符合标准规定的缺陷；</w:t>
      </w:r>
      <w:r/>
    </w:p>
    <w:p>
      <w:pPr>
        <w:pStyle w:val="1044"/>
        <w:ind w:firstLine="0"/>
        <w:spacing w:line="36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c）轻度缺陷：不符合标准规定，但对产品使用性能和产品外观影响较小的缺陷。</w:t>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6.3.1.3  单件样品外观质量评定</w:t>
      </w:r>
      <w:r/>
    </w:p>
    <w:p>
      <w:pPr>
        <w:ind w:firstLine="420"/>
        <w:spacing w:line="36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按6.3.1.2对单件样本进行外观质量评定，如缺陷数符合以下要求则判该件产品外观质量合格，否则为不合格：</w:t>
      </w:r>
      <w:r>
        <w:rPr>
          <w:rFonts w:ascii="宋体" w:hAnsi="宋体" w:cs="宋体"/>
        </w:rPr>
      </w:r>
      <w:r/>
    </w:p>
    <w:p>
      <w:pPr>
        <w:ind w:firstLine="420"/>
        <w:spacing w:line="36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严重缺陷=0，重缺陷=0，轻度缺陷≤10， 或 </w:t>
      </w:r>
      <w:r>
        <w:rPr>
          <w:rFonts w:ascii="宋体" w:hAnsi="宋体" w:cs="宋体"/>
        </w:rPr>
      </w:r>
      <w:r/>
    </w:p>
    <w:p>
      <w:pPr>
        <w:ind w:firstLine="420"/>
        <w:spacing w:line="36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严重缺陷=0，重缺陷=1，轻度缺陷≤6</w:t>
      </w:r>
      <w:r>
        <w:rPr>
          <w:rFonts w:ascii="宋体" w:hAnsi="宋体" w:cs="宋体"/>
        </w:rPr>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6.3.1.4  批量外观质量评定</w:t>
      </w:r>
      <w:r/>
    </w:p>
    <w:p>
      <w:pPr>
        <w:ind w:firstLine="420"/>
        <w:spacing w:line="36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按6.2抽取的每个样品按6.3.1.3进行单件评定，如果不合格样本数不超过10%，则该批产品外观质量合格，否则该批产品外观质量不合格。</w:t>
      </w:r>
      <w:r>
        <w:rPr>
          <w:rFonts w:ascii="宋体" w:hAnsi="宋体" w:cs="宋体"/>
        </w:rPr>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6.3.2  成品内在质量</w:t>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6.3.2.1内在质量检验项目</w:t>
      </w:r>
      <w:r/>
    </w:p>
    <w:p>
      <w:pPr>
        <w:ind w:firstLine="420"/>
        <w:jc w:val="left"/>
        <w:spacing w:line="36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成品和材料内在质量的检验按照表6规定进行。</w:t>
      </w:r>
      <w:r>
        <w:rPr>
          <w:rFonts w:ascii="宋体" w:hAnsi="宋体" w:cs="宋体"/>
        </w:rPr>
      </w:r>
      <w:r/>
    </w:p>
    <w:p>
      <w:pPr>
        <w:jc w:val="left"/>
        <w:spacing w:line="40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6.3.2.2 内在质量评定</w:t>
      </w:r>
      <w:r/>
    </w:p>
    <w:p>
      <w:pPr>
        <w:spacing w:line="400" w:lineRule="exact"/>
        <w:rPr>
          <w:rFonts w:hint="default" w:ascii="宋体" w:hAnsi="宋体" w:cs="宋体"/>
          <w:color w:val="auto"/>
          <w:szCs w:val="24"/>
          <w:highlight w:val="none"/>
        </w:rPr>
      </w:pPr>
      <w:r>
        <w:rPr>
          <w:rFonts w:hint="default" w:ascii="Times New Roman" w:hAnsi="Times New Roman" w:eastAsia="仿宋" w:cs="Times New Roman"/>
          <w:color w:val="auto"/>
          <w:szCs w:val="24"/>
          <w:highlight w:val="none"/>
        </w:rPr>
        <w:t xml:space="preserve">   </w:t>
      </w:r>
      <w:r>
        <w:rPr>
          <w:rFonts w:hint="default" w:ascii="宋体" w:hAnsi="宋体" w:eastAsia="宋体" w:cs="宋体"/>
          <w:color w:val="auto"/>
          <w:szCs w:val="24"/>
          <w:highlight w:val="none"/>
        </w:rPr>
        <w:t xml:space="preserve"> 样品内在质量全部达到6.3.2要求，判该批内在质量合格；如有不合格项，可再取1个样品对不合格项进行复测，结果合格作批内在质量合格，否则判批内在质量不合格。</w:t>
      </w:r>
      <w:r>
        <w:rPr>
          <w:rFonts w:ascii="宋体" w:hAnsi="宋体" w:cs="宋体"/>
        </w:rPr>
      </w:r>
      <w:r/>
    </w:p>
    <w:p>
      <w:pPr>
        <w:pStyle w:val="1045"/>
        <w:numPr>
          <w:ilvl w:val="2"/>
          <w:numId w:val="10"/>
        </w:numPr>
        <w:ind w:left="0" w:firstLine="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入库批质量评定</w:t>
      </w:r>
      <w:r/>
    </w:p>
    <w:p>
      <w:pPr>
        <w:spacing w:line="400" w:lineRule="exact"/>
        <w:rPr>
          <w:rFonts w:hint="default" w:ascii="宋体" w:hAnsi="宋体" w:cs="宋体"/>
          <w:color w:val="auto"/>
          <w:szCs w:val="24"/>
          <w:highlight w:val="none"/>
        </w:rPr>
      </w:pPr>
      <w:r>
        <w:rPr>
          <w:rFonts w:hint="default" w:ascii="宋体" w:hAnsi="宋体" w:eastAsia="宋体" w:cs="宋体"/>
          <w:color w:val="auto"/>
          <w:szCs w:val="24"/>
          <w:highlight w:val="none"/>
        </w:rPr>
        <w:t xml:space="preserve">对入库批产品按6.3.1和6.3.2检验后，如产品批内在质量和外观质量均合格判为批产品合格，否则为不合格。</w:t>
      </w:r>
      <w:r>
        <w:rPr>
          <w:rFonts w:ascii="宋体" w:hAnsi="宋体" w:cs="宋体"/>
        </w:rPr>
      </w:r>
      <w:r/>
    </w:p>
    <w:p>
      <w:pPr>
        <w:jc w:val="center"/>
        <w:spacing w:line="360" w:lineRule="exac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表6 检测项目、检测方法和合格判定条件</w:t>
      </w:r>
      <w:r/>
    </w:p>
    <w:tbl>
      <w:tblPr>
        <w:tblStyle w:val="848"/>
        <w:tblW w:w="5000" w:type="pct"/>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1986"/>
        <w:gridCol w:w="143"/>
        <w:gridCol w:w="1846"/>
        <w:gridCol w:w="1561"/>
        <w:gridCol w:w="2192"/>
      </w:tblGrid>
      <w:tr>
        <w:trPr>
          <w:trHeight w:val="452"/>
          <w:tblHeader/>
        </w:trPr>
        <w:tc>
          <w:tcPr>
            <w:tcBorders>
              <w:top w:val="single" w:color="auto" w:sz="12" w:space="0"/>
              <w:bottom w:val="single" w:color="auto" w:sz="12" w:space="0"/>
              <w:right w:val="single" w:color="auto" w:sz="12" w:space="0"/>
            </w:tcBorders>
            <w:tcW w:w="826"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部件</w:t>
            </w:r>
            <w:r>
              <w:rPr>
                <w:rFonts w:ascii="宋体" w:hAnsi="宋体" w:cs="宋体"/>
              </w:rPr>
            </w:r>
            <w:r/>
          </w:p>
        </w:tc>
        <w:tc>
          <w:tcPr>
            <w:gridSpan w:val="3"/>
            <w:tcBorders>
              <w:top w:val="single" w:color="auto" w:sz="12" w:space="0"/>
              <w:left w:val="single" w:color="auto" w:sz="12" w:space="0"/>
              <w:bottom w:val="single" w:color="auto" w:sz="12" w:space="0"/>
              <w:right w:val="single" w:color="auto" w:sz="12" w:space="0"/>
            </w:tcBorders>
            <w:tcW w:w="214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检 验 项 目</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技术要求</w:t>
            </w:r>
            <w:r>
              <w:rPr>
                <w:rFonts w:ascii="宋体" w:hAnsi="宋体" w:cs="宋体"/>
              </w:rPr>
            </w:r>
            <w:r/>
          </w:p>
        </w:tc>
        <w:tc>
          <w:tcPr>
            <w:tcBorders>
              <w:top w:val="single" w:color="auto" w:sz="12" w:space="0"/>
              <w:left w:val="single" w:color="auto" w:sz="12" w:space="0"/>
              <w:bottom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检测方法</w:t>
            </w:r>
            <w:r>
              <w:rPr>
                <w:rFonts w:ascii="宋体" w:hAnsi="宋体" w:cs="宋体"/>
              </w:rPr>
            </w:r>
            <w:r/>
          </w:p>
        </w:tc>
      </w:tr>
      <w:tr>
        <w:trPr>
          <w:trHeight w:val="284"/>
          <w:tblHeader/>
        </w:trPr>
        <w:tc>
          <w:tcPr>
            <w:tcBorders>
              <w:top w:val="single" w:color="auto" w:sz="12" w:space="0"/>
              <w:bottom w:val="single" w:color="auto" w:sz="12" w:space="0"/>
              <w:right w:val="single" w:color="auto" w:sz="12" w:space="0"/>
            </w:tcBorders>
            <w:tcW w:w="826"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成品</w:t>
            </w:r>
            <w:r>
              <w:rPr>
                <w:rFonts w:ascii="宋体" w:hAnsi="宋体" w:cs="宋体"/>
              </w:rPr>
            </w:r>
            <w:r/>
          </w:p>
        </w:tc>
        <w:tc>
          <w:tcPr>
            <w:gridSpan w:val="3"/>
            <w:tcBorders>
              <w:top w:val="single" w:color="auto" w:sz="12" w:space="0"/>
              <w:left w:val="single" w:color="auto" w:sz="12" w:space="0"/>
              <w:bottom w:val="single" w:color="auto" w:sz="12" w:space="0"/>
              <w:right w:val="single" w:color="auto" w:sz="12" w:space="0"/>
            </w:tcBorders>
            <w:tcW w:w="214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防雨性能</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30min不渗漏</w:t>
            </w:r>
            <w:r>
              <w:rPr>
                <w:rFonts w:ascii="宋体" w:hAnsi="宋体" w:cs="宋体"/>
              </w:rPr>
            </w:r>
            <w:r/>
          </w:p>
        </w:tc>
        <w:tc>
          <w:tcPr>
            <w:tcBorders>
              <w:top w:val="single" w:color="auto" w:sz="12" w:space="0"/>
              <w:left w:val="single" w:color="auto" w:sz="12" w:space="0"/>
              <w:bottom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附录D</w:t>
            </w:r>
            <w:r>
              <w:rPr>
                <w:rFonts w:ascii="宋体" w:hAnsi="宋体" w:cs="宋体"/>
              </w:rPr>
            </w:r>
            <w:r/>
          </w:p>
        </w:tc>
      </w:tr>
      <w:tr>
        <w:trPr>
          <w:trHeight w:val="284"/>
          <w:tblHeader/>
        </w:trPr>
        <w:tc>
          <w:tcPr>
            <w:tcBorders>
              <w:top w:val="single" w:color="auto" w:sz="8" w:space="0"/>
              <w:right w:val="single" w:color="auto" w:sz="12" w:space="0"/>
            </w:tcBorders>
            <w:tcW w:w="826"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涤纶PU涂层布</w:t>
            </w:r>
            <w:r>
              <w:rPr>
                <w:rFonts w:ascii="宋体" w:hAnsi="宋体" w:cs="宋体"/>
              </w:rPr>
            </w:r>
            <w:r/>
          </w:p>
        </w:tc>
        <w:tc>
          <w:tcPr>
            <w:gridSpan w:val="2"/>
            <w:tcBorders>
              <w:top w:val="single" w:color="auto" w:sz="8" w:space="0"/>
              <w:left w:val="single" w:color="auto" w:sz="12" w:space="0"/>
              <w:right w:val="single" w:color="auto" w:sz="12" w:space="0"/>
            </w:tcBorders>
            <w:tcW w:w="1150"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断裂强力，N</w:t>
            </w:r>
            <w:r>
              <w:rPr>
                <w:rFonts w:ascii="宋体" w:hAnsi="宋体" w:cs="宋体"/>
              </w:rPr>
            </w:r>
            <w:r/>
          </w:p>
        </w:tc>
        <w:tc>
          <w:tcPr>
            <w:tcBorders>
              <w:top w:val="single" w:color="auto" w:sz="8"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经向</w:t>
            </w:r>
            <w:r>
              <w:rPr>
                <w:rFonts w:ascii="宋体" w:hAnsi="宋体" w:cs="宋体"/>
              </w:rPr>
            </w:r>
            <w:r/>
          </w:p>
        </w:tc>
        <w:tc>
          <w:tcPr>
            <w:tcBorders>
              <w:top w:val="single" w:color="auto" w:sz="8"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≥1150</w:t>
            </w:r>
            <w:r>
              <w:rPr>
                <w:rFonts w:ascii="宋体" w:hAnsi="宋体" w:cs="宋体"/>
              </w:rPr>
            </w:r>
            <w:r/>
          </w:p>
        </w:tc>
        <w:tc>
          <w:tcPr>
            <w:tcBorders>
              <w:top w:val="single" w:color="auto" w:sz="8" w:space="0"/>
              <w:left w:val="single" w:color="auto" w:sz="12" w:space="0"/>
            </w:tcBorders>
            <w:tcW w:w="1183"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GB/T 3923.1</w:t>
            </w:r>
            <w:r>
              <w:rPr>
                <w:rFonts w:ascii="宋体" w:hAnsi="宋体" w:cs="宋体"/>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bottom w:val="single" w:color="auto" w:sz="12" w:space="0"/>
              <w:right w:val="single" w:color="auto" w:sz="12" w:space="0"/>
            </w:tcBorders>
            <w:tcW w:w="1150"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top w:val="single" w:color="auto" w:sz="8"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纬向</w:t>
            </w:r>
            <w:r>
              <w:rPr>
                <w:rFonts w:ascii="宋体" w:hAnsi="宋体" w:cs="宋体"/>
              </w:rPr>
            </w:r>
            <w:r/>
          </w:p>
        </w:tc>
        <w:tc>
          <w:tcPr>
            <w:tcBorders>
              <w:top w:val="single" w:color="auto" w:sz="8"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≥1000</w:t>
            </w:r>
            <w:r>
              <w:rPr>
                <w:rFonts w:ascii="宋体" w:hAnsi="宋体" w:cs="宋体"/>
              </w:rPr>
            </w:r>
            <w:r/>
          </w:p>
        </w:tc>
        <w:tc>
          <w:tcPr>
            <w:tcBorders>
              <w:left w:val="single" w:color="auto" w:sz="12" w:space="0"/>
              <w:bottom w:val="single" w:color="auto" w:sz="12" w:space="0"/>
            </w:tcBorders>
            <w:tcW w:w="118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top w:val="single" w:color="auto" w:sz="8" w:space="0"/>
              <w:left w:val="single" w:color="auto" w:sz="12" w:space="0"/>
              <w:right w:val="single" w:color="auto" w:sz="12" w:space="0"/>
            </w:tcBorders>
            <w:tcW w:w="1150" w:type="pct"/>
            <w:vAlign w:val="center"/>
            <w:vMerge w:val="restart"/>
            <w:textDirection w:val="lrTb"/>
            <w:noWrap w:val="false"/>
          </w:tcPr>
          <w:p>
            <w:pPr>
              <w:jc w:val="center"/>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撕破强力，N</w:t>
            </w:r>
            <w:r>
              <w:rPr>
                <w:rFonts w:ascii="宋体" w:hAnsi="宋体" w:cs="宋体"/>
              </w:rPr>
            </w:r>
            <w:r/>
          </w:p>
        </w:tc>
        <w:tc>
          <w:tcPr>
            <w:tcBorders>
              <w:top w:val="single" w:color="auto" w:sz="8"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经向</w:t>
            </w:r>
            <w:r>
              <w:rPr>
                <w:rFonts w:ascii="宋体" w:hAnsi="宋体" w:cs="宋体"/>
              </w:rPr>
            </w:r>
            <w:r/>
          </w:p>
        </w:tc>
        <w:tc>
          <w:tcPr>
            <w:tcBorders>
              <w:top w:val="single" w:color="auto" w:sz="8"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≥35</w:t>
            </w:r>
            <w:r>
              <w:rPr>
                <w:rFonts w:ascii="宋体" w:hAnsi="宋体" w:cs="宋体"/>
              </w:rPr>
            </w:r>
            <w:r/>
          </w:p>
        </w:tc>
        <w:tc>
          <w:tcPr>
            <w:tcBorders>
              <w:top w:val="single" w:color="auto" w:sz="8" w:space="0"/>
              <w:left w:val="single" w:color="auto" w:sz="12" w:space="0"/>
            </w:tcBorders>
            <w:tcW w:w="1183"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GB/T 3917.3</w:t>
            </w:r>
            <w:r>
              <w:rPr>
                <w:rFonts w:ascii="宋体" w:hAnsi="宋体" w:cs="宋体"/>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bottom w:val="single" w:color="auto" w:sz="12" w:space="0"/>
              <w:right w:val="single" w:color="auto" w:sz="12" w:space="0"/>
            </w:tcBorders>
            <w:tcW w:w="1150"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top w:val="single" w:color="auto" w:sz="12"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纬向</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≥30</w:t>
            </w:r>
            <w:r>
              <w:rPr>
                <w:rFonts w:ascii="宋体" w:hAnsi="宋体" w:cs="宋体"/>
              </w:rPr>
            </w:r>
            <w:r/>
          </w:p>
        </w:tc>
        <w:tc>
          <w:tcPr>
            <w:tcBorders>
              <w:left w:val="single" w:color="auto" w:sz="12" w:space="0"/>
              <w:bottom w:val="single" w:color="auto" w:sz="12" w:space="0"/>
            </w:tcBorders>
            <w:tcW w:w="118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right w:val="single" w:color="auto" w:sz="12" w:space="0"/>
            </w:tcBorders>
            <w:tcW w:w="1150"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*阻燃性能</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损毁长度，mm</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≤150</w:t>
            </w:r>
            <w:r>
              <w:rPr>
                <w:rFonts w:ascii="宋体" w:hAnsi="宋体" w:cs="宋体"/>
              </w:rPr>
            </w:r>
            <w:r/>
          </w:p>
        </w:tc>
        <w:tc>
          <w:tcPr>
            <w:tcBorders>
              <w:top w:val="single" w:color="auto" w:sz="12" w:space="0"/>
              <w:left w:val="single" w:color="auto" w:sz="12" w:space="0"/>
            </w:tcBorders>
            <w:tcW w:w="1183"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GB/T 5455</w:t>
            </w:r>
            <w:r>
              <w:rPr>
                <w:rFonts w:ascii="宋体" w:hAnsi="宋体" w:cs="宋体"/>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right w:val="single" w:color="auto" w:sz="12" w:space="0"/>
            </w:tcBorders>
            <w:tcW w:w="1150"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top w:val="single" w:color="auto" w:sz="12"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续、阴燃时间，s</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≤15</w:t>
            </w:r>
            <w:r>
              <w:rPr>
                <w:rFonts w:ascii="宋体" w:hAnsi="宋体" w:cs="宋体"/>
              </w:rPr>
            </w:r>
            <w:r/>
          </w:p>
        </w:tc>
        <w:tc>
          <w:tcPr>
            <w:tcBorders>
              <w:left w:val="single" w:color="auto" w:sz="12" w:space="0"/>
            </w:tcBorders>
            <w:tcW w:w="118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bottom w:val="single" w:color="auto" w:sz="12" w:space="0"/>
              <w:right w:val="single" w:color="auto" w:sz="12" w:space="0"/>
            </w:tcBorders>
            <w:tcW w:w="1150"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top w:val="single" w:color="auto" w:sz="12" w:space="0"/>
              <w:left w:val="single" w:color="auto" w:sz="12" w:space="0"/>
              <w:bottom w:val="single" w:color="auto" w:sz="12" w:space="0"/>
              <w:right w:val="single" w:color="auto" w:sz="12" w:space="0"/>
            </w:tcBorders>
            <w:tcW w:w="99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熔融滴落物</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不得引起脱脂棉燃烧或阴燃</w:t>
            </w:r>
            <w:r>
              <w:rPr>
                <w:rFonts w:ascii="宋体" w:hAnsi="宋体" w:cs="宋体"/>
              </w:rPr>
            </w:r>
            <w:r/>
          </w:p>
        </w:tc>
        <w:tc>
          <w:tcPr>
            <w:tcBorders>
              <w:left w:val="single" w:color="auto" w:sz="12" w:space="0"/>
              <w:bottom w:val="single" w:color="auto" w:sz="12" w:space="0"/>
            </w:tcBorders>
            <w:tcW w:w="118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3"/>
            <w:tcBorders>
              <w:left w:val="single" w:color="auto" w:sz="12" w:space="0"/>
              <w:bottom w:val="single" w:color="auto" w:sz="12" w:space="0"/>
              <w:right w:val="single" w:color="auto" w:sz="12" w:space="0"/>
            </w:tcBorders>
            <w:tcW w:w="214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耐光色牢度，级</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≥4</w:t>
            </w:r>
            <w:r>
              <w:rPr>
                <w:rFonts w:ascii="宋体" w:hAnsi="宋体" w:cs="宋体"/>
              </w:rPr>
            </w:r>
            <w:r/>
          </w:p>
        </w:tc>
        <w:tc>
          <w:tcPr>
            <w:tcBorders>
              <w:left w:val="single" w:color="auto" w:sz="12" w:space="0"/>
              <w:bottom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GB/T 8427-2008 方法3</w:t>
            </w:r>
            <w:r>
              <w:rPr>
                <w:rFonts w:ascii="宋体" w:hAnsi="宋体" w:cs="宋体"/>
              </w:rPr>
            </w:r>
            <w:r/>
          </w:p>
        </w:tc>
      </w:tr>
      <w:tr>
        <w:trPr>
          <w:trHeight w:val="284"/>
          <w:tblHeader/>
        </w:trPr>
        <w:tc>
          <w:tcPr>
            <w:tcBorders>
              <w:bottom w:val="single" w:color="auto" w:sz="12" w:space="0"/>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3"/>
            <w:tcBorders>
              <w:left w:val="single" w:color="auto" w:sz="12" w:space="0"/>
              <w:bottom w:val="single" w:color="auto" w:sz="12" w:space="0"/>
              <w:right w:val="single" w:color="auto" w:sz="12" w:space="0"/>
            </w:tcBorders>
            <w:tcW w:w="214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抗粘连性</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允许轻度粘连</w:t>
            </w:r>
            <w:r>
              <w:rPr>
                <w:rFonts w:ascii="宋体" w:hAnsi="宋体" w:cs="宋体"/>
              </w:rPr>
            </w:r>
            <w:r/>
          </w:p>
        </w:tc>
        <w:tc>
          <w:tcPr>
            <w:tcBorders>
              <w:left w:val="single" w:color="auto" w:sz="12" w:space="0"/>
              <w:bottom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FZ/T 01063</w:t>
            </w:r>
            <w:r>
              <w:rPr>
                <w:rFonts w:ascii="宋体" w:hAnsi="宋体" w:cs="宋体"/>
              </w:rPr>
            </w:r>
            <w:r/>
          </w:p>
        </w:tc>
      </w:tr>
      <w:tr>
        <w:trPr>
          <w:trHeight w:val="284"/>
          <w:tblHeader/>
        </w:trPr>
        <w:tc>
          <w:tcPr>
            <w:tcBorders>
              <w:bottom w:val="single" w:color="auto" w:sz="12" w:space="0"/>
              <w:right w:val="single" w:color="auto" w:sz="12" w:space="0"/>
            </w:tcBorders>
            <w:tcW w:w="826"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包芯绳</w:t>
            </w:r>
            <w:r>
              <w:rPr>
                <w:rFonts w:ascii="宋体" w:hAnsi="宋体" w:cs="宋体"/>
              </w:rPr>
            </w:r>
            <w:r/>
          </w:p>
        </w:tc>
        <w:tc>
          <w:tcPr>
            <w:gridSpan w:val="3"/>
            <w:tcBorders>
              <w:left w:val="single" w:color="auto" w:sz="12" w:space="0"/>
              <w:bottom w:val="single" w:color="auto" w:sz="12" w:space="0"/>
              <w:right w:val="single" w:color="auto" w:sz="12" w:space="0"/>
            </w:tcBorders>
            <w:tcW w:w="2147"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断裂强力，N</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≥2500</w:t>
            </w:r>
            <w:r>
              <w:rPr>
                <w:rFonts w:ascii="宋体" w:hAnsi="宋体" w:cs="宋体"/>
              </w:rPr>
            </w:r>
            <w:r/>
          </w:p>
        </w:tc>
        <w:tc>
          <w:tcPr>
            <w:tcBorders>
              <w:left w:val="single" w:color="auto" w:sz="12" w:space="0"/>
              <w:bottom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FZ/T 65002</w:t>
            </w:r>
            <w:r>
              <w:rPr>
                <w:rFonts w:ascii="宋体" w:hAnsi="宋体" w:cs="宋体"/>
              </w:rPr>
            </w:r>
            <w:r/>
          </w:p>
        </w:tc>
      </w:tr>
      <w:tr>
        <w:trPr>
          <w:trHeight w:val="284"/>
          <w:tblHeader/>
        </w:trPr>
        <w:tc>
          <w:tcPr>
            <w:tcBorders>
              <w:right w:val="single" w:color="auto" w:sz="12" w:space="0"/>
            </w:tcBorders>
            <w:tcW w:w="826"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铝合金管</w:t>
            </w:r>
            <w:r>
              <w:rPr>
                <w:rFonts w:ascii="宋体" w:hAnsi="宋体" w:cs="宋体"/>
              </w:rPr>
            </w:r>
            <w:r/>
          </w:p>
        </w:tc>
        <w:tc>
          <w:tcPr>
            <w:tcBorders>
              <w:left w:val="single" w:color="auto" w:sz="12" w:space="0"/>
              <w:right w:val="single" w:color="auto" w:sz="12" w:space="0"/>
            </w:tcBorders>
            <w:tcW w:w="107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规格</w:t>
            </w:r>
            <w:r>
              <w:rPr>
                <w:rFonts w:ascii="宋体" w:hAnsi="宋体" w:cs="宋体"/>
              </w:rPr>
            </w:r>
            <w:r/>
          </w:p>
        </w:tc>
        <w:tc>
          <w:tcPr>
            <w:gridSpan w:val="2"/>
            <w:tcBorders>
              <w:left w:val="single" w:color="auto" w:sz="12" w:space="0"/>
              <w:bottom w:val="single" w:color="auto" w:sz="12" w:space="0"/>
              <w:right w:val="single" w:color="auto" w:sz="12" w:space="0"/>
            </w:tcBorders>
            <w:tcW w:w="1074" w:type="pct"/>
            <w:vAlign w:val="center"/>
            <w:textDirection w:val="lrTb"/>
            <w:noWrap w:val="false"/>
          </w:tcPr>
          <w:p>
            <w:pPr>
              <w:jc w:val="center"/>
              <w:spacing w:line="24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筋高+壁厚，mm</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spacing w:line="240" w:lineRule="exact"/>
              <w:rPr>
                <w:rFonts w:hint="default" w:ascii="宋体" w:hAnsi="宋体" w:cs="宋体"/>
                <w:color w:val="auto"/>
                <w:sz w:val="18"/>
                <w:szCs w:val="18"/>
                <w:highlight w:val="none"/>
              </w:rPr>
            </w:pPr>
            <w:r>
              <w:rPr>
                <w:rFonts w:hint="default" w:ascii="宋体" w:hAnsi="宋体" w:eastAsia="仿宋" w:cs="宋体"/>
                <w:color w:val="auto"/>
                <w:sz w:val="18"/>
                <w:szCs w:val="18"/>
                <w:highlight w:val="none"/>
              </w:rPr>
              <w:t xml:space="preserve">≥2.6mm</w:t>
            </w:r>
            <w:r>
              <w:rPr>
                <w:rFonts w:ascii="宋体" w:hAnsi="宋体" w:cs="宋体"/>
              </w:rPr>
            </w:r>
            <w:r/>
          </w:p>
        </w:tc>
        <w:tc>
          <w:tcPr>
            <w:tcBorders>
              <w:left w:val="single" w:color="auto" w:sz="12" w:space="0"/>
            </w:tcBorders>
            <w:tcW w:w="118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直尺、卡尺</w:t>
            </w:r>
            <w:r>
              <w:rPr>
                <w:rFonts w:ascii="宋体" w:hAnsi="宋体" w:cs="宋体"/>
              </w:rPr>
            </w:r>
            <w:r/>
          </w:p>
        </w:tc>
      </w:tr>
      <w:tr>
        <w:trPr>
          <w:trHeight w:val="284"/>
          <w:tblHeader/>
        </w:trPr>
        <w:tc>
          <w:tcPr>
            <w:tcBorders>
              <w:top w:val="single" w:color="auto" w:sz="12" w:space="0"/>
              <w:right w:val="single" w:color="auto" w:sz="12" w:space="0"/>
            </w:tcBorders>
            <w:tcW w:w="826"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焊接钢管</w:t>
            </w:r>
            <w:r>
              <w:rPr>
                <w:rFonts w:ascii="宋体" w:hAnsi="宋体" w:cs="宋体"/>
              </w:rPr>
            </w:r>
            <w:r/>
          </w:p>
        </w:tc>
        <w:tc>
          <w:tcPr>
            <w:tcBorders>
              <w:top w:val="single" w:color="auto" w:sz="12" w:space="0"/>
              <w:left w:val="single" w:color="auto" w:sz="12" w:space="0"/>
              <w:right w:val="single" w:color="auto" w:sz="12" w:space="0"/>
            </w:tcBorders>
            <w:tcW w:w="1073"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规格</w:t>
            </w:r>
            <w:r>
              <w:rPr>
                <w:rFonts w:ascii="宋体" w:hAnsi="宋体" w:cs="宋体"/>
              </w:rPr>
            </w:r>
            <w:r/>
          </w:p>
        </w:tc>
        <w:tc>
          <w:tcPr>
            <w:gridSpan w:val="2"/>
            <w:tcBorders>
              <w:left w:val="single" w:color="auto" w:sz="12" w:space="0"/>
              <w:bottom w:val="single" w:color="auto" w:sz="12" w:space="0"/>
              <w:right w:val="single" w:color="auto" w:sz="12" w:space="0"/>
            </w:tcBorders>
            <w:tcW w:w="1074"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24"/>
                <w:highlight w:val="none"/>
              </w:rPr>
              <w:t xml:space="preserve">外径</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24"/>
                <w:highlight w:val="none"/>
              </w:rPr>
              <w:t xml:space="preserve">28±0.40</w:t>
            </w:r>
            <w:r>
              <w:rPr>
                <w:rFonts w:ascii="宋体" w:hAnsi="宋体" w:cs="宋体"/>
              </w:rPr>
            </w:r>
            <w:r/>
          </w:p>
        </w:tc>
        <w:tc>
          <w:tcPr>
            <w:tcBorders>
              <w:top w:val="single" w:color="auto" w:sz="12" w:space="0"/>
              <w:left w:val="single" w:color="auto" w:sz="12" w:space="0"/>
            </w:tcBorders>
            <w:tcW w:w="1183" w:type="pct"/>
            <w:vAlign w:val="center"/>
            <w:vMerge w:val="restart"/>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直尺、卡尺</w:t>
            </w:r>
            <w:r>
              <w:rPr>
                <w:rFonts w:ascii="宋体" w:hAnsi="宋体" w:cs="宋体"/>
              </w:rPr>
            </w:r>
            <w:r/>
          </w:p>
        </w:tc>
      </w:tr>
      <w:tr>
        <w:trPr>
          <w:trHeight w:val="284"/>
          <w:tblHeader/>
        </w:trPr>
        <w:tc>
          <w:tcPr>
            <w:tcBorders>
              <w:right w:val="single" w:color="auto" w:sz="12" w:space="0"/>
            </w:tcBorders>
            <w:tcW w:w="826"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Borders>
              <w:left w:val="single" w:color="auto" w:sz="12" w:space="0"/>
              <w:right w:val="single" w:color="auto" w:sz="12" w:space="0"/>
            </w:tcBorders>
            <w:tcW w:w="107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gridSpan w:val="2"/>
            <w:tcBorders>
              <w:left w:val="single" w:color="auto" w:sz="12" w:space="0"/>
              <w:right w:val="single" w:color="auto" w:sz="12" w:space="0"/>
            </w:tcBorders>
            <w:tcW w:w="1074"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宋体" w:cs="宋体"/>
                <w:color w:val="auto"/>
                <w:sz w:val="18"/>
                <w:szCs w:val="24"/>
                <w:highlight w:val="none"/>
              </w:rPr>
              <w:t xml:space="preserve">壁厚</w:t>
            </w:r>
            <w:r>
              <w:rPr>
                <w:rFonts w:ascii="宋体" w:hAnsi="宋体" w:cs="宋体"/>
              </w:rPr>
            </w:r>
            <w:r/>
          </w:p>
        </w:tc>
        <w:tc>
          <w:tcPr>
            <w:tcBorders>
              <w:top w:val="single" w:color="auto" w:sz="12" w:space="0"/>
              <w:left w:val="single" w:color="auto" w:sz="12" w:space="0"/>
              <w:bottom w:val="single" w:color="auto" w:sz="12" w:space="0"/>
              <w:right w:val="single" w:color="auto" w:sz="12" w:space="0"/>
            </w:tcBorders>
            <w:tcW w:w="843" w:type="pct"/>
            <w:vAlign w:val="center"/>
            <w:textDirection w:val="lrTb"/>
            <w:noWrap w:val="false"/>
          </w:tcPr>
          <w:p>
            <w:pPr>
              <w:jc w:val="center"/>
              <w:rPr>
                <w:rFonts w:hint="default" w:ascii="宋体" w:hAnsi="宋体" w:cs="宋体"/>
                <w:color w:val="auto"/>
                <w:sz w:val="18"/>
                <w:szCs w:val="18"/>
                <w:highlight w:val="none"/>
              </w:rPr>
            </w:pPr>
            <w:r>
              <w:rPr>
                <w:rFonts w:hint="default" w:ascii="宋体" w:hAnsi="宋体" w:eastAsia="仿宋" w:cs="宋体"/>
                <w:color w:val="auto"/>
                <w:sz w:val="18"/>
                <w:szCs w:val="24"/>
                <w:highlight w:val="none"/>
              </w:rPr>
              <w:t xml:space="preserve">1.0±0.10</w:t>
            </w:r>
            <w:r>
              <w:rPr>
                <w:rFonts w:ascii="宋体" w:hAnsi="宋体" w:cs="宋体"/>
              </w:rPr>
            </w:r>
            <w:r/>
          </w:p>
        </w:tc>
        <w:tc>
          <w:tcPr>
            <w:tcBorders>
              <w:left w:val="single" w:color="auto" w:sz="12" w:space="0"/>
            </w:tcBorders>
            <w:tcW w:w="1183" w:type="pct"/>
            <w:vAlign w:val="center"/>
            <w:vMerge w:val="continue"/>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trHeight w:val="284"/>
          <w:tblHeader/>
        </w:trPr>
        <w:tc>
          <w:tcPr>
            <w:gridSpan w:val="6"/>
            <w:tcBorders>
              <w:top w:val="single" w:color="auto" w:sz="12" w:space="0"/>
              <w:bottom w:val="single" w:color="auto" w:sz="12" w:space="0"/>
            </w:tcBorders>
            <w:tcW w:w="5000" w:type="pct"/>
            <w:vAlign w:val="center"/>
            <w:textDirection w:val="lrTb"/>
            <w:noWrap w:val="false"/>
          </w:tcPr>
          <w:p>
            <w:pPr>
              <w:jc w:val="left"/>
              <w:spacing w:line="400" w:lineRule="exact"/>
              <w:rPr>
                <w:rFonts w:hint="default" w:ascii="宋体" w:hAnsi="宋体" w:cs="宋体"/>
                <w:color w:val="auto"/>
                <w:sz w:val="18"/>
                <w:szCs w:val="18"/>
                <w:highlight w:val="none"/>
              </w:rPr>
            </w:pPr>
            <w:r>
              <w:rPr>
                <w:rFonts w:hint="default" w:ascii="宋体" w:hAnsi="宋体" w:eastAsia="宋体" w:cs="宋体"/>
                <w:color w:val="auto"/>
                <w:sz w:val="18"/>
                <w:szCs w:val="18"/>
                <w:highlight w:val="none"/>
              </w:rPr>
              <w:t xml:space="preserve">注：有*的项为选择项，根据实际情况选测。</w:t>
            </w:r>
            <w:r>
              <w:rPr>
                <w:rFonts w:ascii="宋体" w:hAnsi="宋体" w:cs="宋体"/>
              </w:rPr>
            </w:r>
            <w:r/>
          </w:p>
        </w:tc>
      </w:tr>
    </w:tbl>
    <w:p>
      <w:pPr>
        <w:pStyle w:val="1045"/>
        <w:numPr>
          <w:ilvl w:val="2"/>
          <w:numId w:val="0"/>
        </w:numPr>
        <w:spacing w:before="156" w:after="156"/>
        <w:rPr>
          <w:rFonts w:hint="default" w:ascii="Times New Roman" w:hAnsi="Times New Roman" w:cs="Times New Roman"/>
          <w:bCs/>
          <w:color w:val="auto"/>
          <w:highlight w:val="none"/>
        </w:rPr>
      </w:pPr>
      <w:r/>
      <w:bookmarkStart w:id="621" w:name="_Toc469239313"/>
      <w:r>
        <w:rPr>
          <w:rFonts w:hint="default" w:ascii="Times New Roman" w:hAnsi="Times New Roman" w:cs="Times New Roman"/>
          <w:bCs/>
          <w:color w:val="auto"/>
          <w:highlight w:val="none"/>
        </w:rPr>
        <w:t xml:space="preserve">6.5    复验</w:t>
      </w:r>
      <w:bookmarkEnd w:id="621"/>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如检验结果判定批质量不合格，供货方对检验结果有异议时，可申请收货方委托第三方检测机构进行重新检验，复验以一次为准。凡复检判定合格的应作全批合格，但实际查出的不符合产品供货方应负责调换或作降价处理；判定不合格的应作全批不合格，收货方视情况责令供货方全部整改或作返工处理。物资检验合格后，收货方出具验收单。</w:t>
      </w:r>
      <w:bookmarkEnd w:id="611"/>
      <w:r/>
      <w:bookmarkEnd w:id="612"/>
      <w:r/>
      <w:bookmarkEnd w:id="613"/>
      <w:r/>
      <w:bookmarkEnd w:id="614"/>
      <w:r/>
      <w:bookmarkEnd w:id="615"/>
      <w:r/>
      <w:bookmarkEnd w:id="616"/>
      <w:r/>
      <w:bookmarkEnd w:id="617"/>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54"/>
        <w:numPr>
          <w:ilvl w:val="0"/>
          <w:numId w:val="13"/>
        </w:numPr>
        <w:ind w:left="4305"/>
        <w:jc w:val="both"/>
        <w:keepNext w:val="0"/>
        <w:spacing w:after="200"/>
        <w:rPr>
          <w:rFonts w:hint="default" w:ascii="Times New Roman" w:hAnsi="Times New Roman" w:cs="Times New Roman"/>
          <w:color w:val="auto"/>
          <w:highlight w:val="none"/>
        </w:rPr>
      </w:pPr>
      <w:r/>
      <w:bookmarkStart w:id="622" w:name="_Toc3777"/>
      <w:r/>
      <w:bookmarkEnd w:id="622"/>
      <w:r/>
      <w:bookmarkStart w:id="623" w:name="_Toc49032431"/>
      <w:r/>
      <w:bookmarkEnd w:id="623"/>
      <w:r/>
      <w:bookmarkStart w:id="624" w:name="_Toc6807"/>
      <w:r/>
      <w:bookmarkEnd w:id="624"/>
      <w:r/>
      <w:bookmarkStart w:id="625" w:name="_Toc418769770"/>
      <w:r/>
      <w:bookmarkEnd w:id="625"/>
      <w:r/>
      <w:bookmarkStart w:id="626" w:name="_Toc49092045"/>
      <w:r/>
      <w:bookmarkEnd w:id="626"/>
      <w:r/>
      <w:bookmarkStart w:id="627" w:name="_Toc49033523"/>
      <w:r/>
      <w:bookmarkEnd w:id="627"/>
      <w:r/>
      <w:bookmarkStart w:id="628" w:name="_Toc49120548"/>
      <w:r/>
      <w:bookmarkEnd w:id="628"/>
      <w:r/>
      <w:r/>
    </w:p>
    <w:p>
      <w:pPr>
        <w:jc w:val="center"/>
        <w:rPr>
          <w:rFonts w:hint="default" w:ascii="Times New Roman" w:hAnsi="Times New Roman" w:eastAsia="黑体" w:cs="Times New Roman"/>
          <w:color w:val="auto"/>
          <w:szCs w:val="24"/>
          <w:highlight w:val="none"/>
        </w:rPr>
      </w:pPr>
      <w:r/>
      <w:bookmarkStart w:id="629" w:name="_Toc418767558"/>
      <w:r/>
      <w:bookmarkStart w:id="630" w:name="_Toc418769771"/>
      <w:r/>
      <w:bookmarkStart w:id="631" w:name="_Toc30128"/>
      <w:r/>
      <w:bookmarkStart w:id="632" w:name="_Toc31456"/>
      <w:r>
        <w:rPr>
          <w:rFonts w:hint="default" w:ascii="Times New Roman" w:hAnsi="Times New Roman" w:eastAsia="黑体" w:cs="Times New Roman"/>
          <w:color w:val="auto"/>
          <w:szCs w:val="24"/>
          <w:highlight w:val="none"/>
        </w:rPr>
        <w:t xml:space="preserve">(规范性附录)</w:t>
      </w:r>
      <w:bookmarkEnd w:id="629"/>
      <w:r/>
      <w:bookmarkEnd w:id="630"/>
      <w:r/>
      <w:bookmarkEnd w:id="631"/>
      <w:r/>
      <w:bookmarkEnd w:id="632"/>
      <w:r/>
      <w:r/>
    </w:p>
    <w:p>
      <w:pPr>
        <w:jc w:val="center"/>
        <w:rPr>
          <w:rFonts w:hint="default" w:ascii="Times New Roman" w:hAnsi="Times New Roman" w:eastAsia="仿宋" w:cs="Times New Roman"/>
          <w:color w:val="auto"/>
          <w:szCs w:val="24"/>
          <w:highlight w:val="none"/>
        </w:rPr>
      </w:pPr>
      <w:r/>
      <w:bookmarkStart w:id="633" w:name="_Toc23919"/>
      <w:r/>
      <w:bookmarkStart w:id="634" w:name="_Toc418767559"/>
      <w:r/>
      <w:bookmarkStart w:id="635" w:name="_Toc418769772"/>
      <w:r/>
      <w:bookmarkStart w:id="636" w:name="_Toc27722"/>
      <w:r>
        <w:rPr>
          <w:rFonts w:hint="default" w:ascii="Times New Roman" w:hAnsi="Times New Roman" w:eastAsia="黑体" w:cs="Times New Roman"/>
          <w:color w:val="auto"/>
          <w:szCs w:val="24"/>
          <w:highlight w:val="none"/>
        </w:rPr>
        <w:t xml:space="preserve">篷体各部件名称、结构及主要尺寸</w:t>
      </w:r>
      <w:bookmarkEnd w:id="633"/>
      <w:r/>
      <w:bookmarkEnd w:id="634"/>
      <w:r/>
      <w:bookmarkEnd w:id="635"/>
      <w:r/>
      <w:bookmarkEnd w:id="636"/>
      <w:r/>
      <w:r/>
    </w:p>
    <w:p>
      <w:pPr>
        <w:pStyle w:val="1055"/>
        <w:numPr>
          <w:ilvl w:val="1"/>
          <w:numId w:val="13"/>
        </w:numPr>
        <w:ind w:left="-4"/>
        <w:spacing w:before="156" w:after="156"/>
        <w:rPr>
          <w:rFonts w:hint="default" w:ascii="Times New Roman" w:hAnsi="Times New Roman" w:cs="Times New Roman"/>
          <w:color w:val="auto"/>
          <w:highlight w:val="none"/>
        </w:rPr>
      </w:pPr>
      <w:r/>
      <w:bookmarkStart w:id="637" w:name="_Toc418769773"/>
      <w:r/>
      <w:bookmarkStart w:id="638" w:name="_Toc191462702"/>
      <w:r/>
      <w:bookmarkStart w:id="639" w:name="_Toc222807267"/>
      <w:r/>
      <w:bookmarkStart w:id="640" w:name="_Toc8253"/>
      <w:r/>
      <w:bookmarkStart w:id="641" w:name="_Toc22895"/>
      <w:r/>
      <w:bookmarkStart w:id="642" w:name="_Toc339004727"/>
      <w:r/>
      <w:bookmarkStart w:id="643" w:name="_Toc193103954"/>
      <w:r/>
      <w:bookmarkStart w:id="644" w:name="_Toc191462618"/>
      <w:r>
        <w:rPr>
          <w:rFonts w:hint="default" w:ascii="Times New Roman" w:hAnsi="Times New Roman" w:cs="Times New Roman"/>
          <w:color w:val="auto"/>
          <w:highlight w:val="none"/>
        </w:rPr>
        <w:t xml:space="preserve">篷顶</w:t>
      </w:r>
      <w:bookmarkEnd w:id="637"/>
      <w:r/>
      <w:bookmarkEnd w:id="638"/>
      <w:r/>
      <w:bookmarkEnd w:id="639"/>
      <w:r/>
      <w:bookmarkEnd w:id="640"/>
      <w:r/>
      <w:bookmarkEnd w:id="641"/>
      <w:r/>
      <w:bookmarkEnd w:id="642"/>
      <w:r/>
      <w:bookmarkEnd w:id="643"/>
      <w:r/>
      <w:bookmarkEnd w:id="644"/>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篷顶面结构及主要尺寸见图A.1。</w:t>
      </w:r>
      <w:bookmarkStart w:id="645" w:name="_Toc193103955"/>
      <w:r/>
      <w:bookmarkStart w:id="646" w:name="_Toc191462703"/>
      <w:r/>
      <w:bookmarkStart w:id="647" w:name="_Toc191462619"/>
      <w:r>
        <w:rPr>
          <w:rFonts w:hint="default" w:ascii="Times New Roman" w:hAnsi="Times New Roman" w:eastAsia="仿宋" w:cs="Times New Roman"/>
          <w:color w:val="auto"/>
          <w:szCs w:val="24"/>
          <w:highlight w:val="none"/>
        </w:rPr>
        <w:t xml:space="preserve">篷顶里结构及主要尺寸见图A.2。</w:t>
      </w:r>
      <w:bookmarkEnd w:id="645"/>
      <w:r/>
      <w:bookmarkEnd w:id="646"/>
      <w:r/>
      <w:bookmarkEnd w:id="647"/>
      <w:r/>
      <w:r/>
    </w:p>
    <w:p>
      <w:pPr>
        <w:jc w:val="righ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  单位</w:t>
      </w:r>
      <w:r>
        <w:rPr>
          <w:rFonts w:hint="eastAsia" w:ascii="Times New Roman" w:hAnsi="Times New Roman" w:eastAsia="仿宋" w:cs="Times New Roman"/>
          <w:color w:val="auto"/>
          <w:sz w:val="18"/>
          <w:szCs w:val="18"/>
          <w:highlight w:val="none"/>
          <w:lang w:eastAsia="zh-CN"/>
        </w:rPr>
        <w:t xml:space="preserve">：</w:t>
      </w:r>
      <w:r>
        <w:rPr>
          <w:rFonts w:hint="default" w:ascii="Times New Roman" w:hAnsi="Times New Roman" w:eastAsia="仿宋" w:cs="Times New Roman"/>
          <w:color w:val="auto"/>
          <w:sz w:val="18"/>
          <w:szCs w:val="18"/>
          <w:highlight w:val="none"/>
        </w:rPr>
        <w:t xml:space="preserve">毫米</w:t>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4734560" cy="6047105"/>
                <wp:effectExtent l="0" t="0" r="2540" b="10795"/>
                <wp:docPr id="9" name="图片 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descr="01"/>
                        <pic:cNvPicPr>
                          <a:picLocks noChangeAspect="1"/>
                        </pic:cNvPicPr>
                        <pic:nvPr/>
                      </pic:nvPicPr>
                      <pic:blipFill>
                        <a:blip r:embed="rId25"/>
                        <a:stretch/>
                      </pic:blipFill>
                      <pic:spPr bwMode="auto">
                        <a:xfrm>
                          <a:off x="0" y="0"/>
                          <a:ext cx="4734560" cy="604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72.8pt;height:476.1pt;mso-wrap-distance-left:0.0pt;mso-wrap-distance-top:0.0pt;mso-wrap-distance-right:0.0pt;mso-wrap-distance-bottom:0.0pt;" stroked="f">
                <v:path textboxrect="0,0,0,0"/>
                <v:imagedata r:id="rId25"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图A.1  篷顶面结构及主要尺寸</w:t>
      </w:r>
      <w:r/>
    </w:p>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br w:type="page" w:clear="all"/>
      </w:r>
      <w:r/>
    </w:p>
    <w:p>
      <w:pPr>
        <w:jc w:val="righ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单位</w:t>
      </w:r>
      <w:r>
        <w:rPr>
          <w:rFonts w:hint="eastAsia" w:ascii="Times New Roman" w:hAnsi="Times New Roman" w:eastAsia="仿宋" w:cs="Times New Roman"/>
          <w:color w:val="auto"/>
          <w:sz w:val="18"/>
          <w:szCs w:val="18"/>
          <w:highlight w:val="none"/>
          <w:lang w:eastAsia="zh-CN"/>
        </w:rPr>
        <w:t xml:space="preserve">：</w:t>
      </w:r>
      <w:r>
        <w:rPr>
          <w:rFonts w:hint="default" w:ascii="Times New Roman" w:hAnsi="Times New Roman" w:eastAsia="仿宋" w:cs="Times New Roman"/>
          <w:color w:val="auto"/>
          <w:sz w:val="18"/>
          <w:szCs w:val="18"/>
          <w:highlight w:val="none"/>
        </w:rPr>
        <w:t xml:space="preserve">毫米</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67310</wp:posOffset>
                </wp:positionH>
                <wp:positionV relativeFrom="paragraph">
                  <wp:posOffset>92469</wp:posOffset>
                </wp:positionV>
                <wp:extent cx="5625465" cy="7723505"/>
                <wp:effectExtent l="0" t="0" r="635" b="10795"/>
                <wp:wrapTopAndBottom/>
                <wp:docPr id="10"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11917" name="图片 215"/>
                        <pic:cNvPicPr>
                          <a:picLocks noChangeAspect="1"/>
                        </pic:cNvPicPr>
                        <pic:nvPr/>
                      </pic:nvPicPr>
                      <pic:blipFill>
                        <a:blip r:embed="rId26"/>
                        <a:srcRect l="27867" t="5807" r="32002" b="4301"/>
                        <a:stretch/>
                      </pic:blipFill>
                      <pic:spPr bwMode="auto">
                        <a:xfrm>
                          <a:off x="0" y="0"/>
                          <a:ext cx="5625464" cy="77235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8720;o:allowoverlap:true;o:allowincell:true;mso-position-horizontal-relative:text;margin-left:5.3pt;mso-position-horizontal:absolute;mso-position-vertical-relative:text;margin-top:7.3pt;mso-position-vertical:absolute;width:442.9pt;height:608.1pt;mso-wrap-distance-left:9.0pt;mso-wrap-distance-top:0.0pt;mso-wrap-distance-right:9.0pt;mso-wrap-distance-bottom:0.0pt;" stroked="f">
                <v:path textboxrect="0,0,0,0"/>
                <w10:wrap type="topAndBottom"/>
                <v:imagedata r:id="rId26" o:title=""/>
              </v:shape>
            </w:pict>
          </mc:Fallback>
        </mc:AlternateContent>
      </w: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图A.2  篷顶里结构及主要尺寸</w:t>
      </w:r>
      <w:r/>
    </w:p>
    <w:p>
      <w:pPr>
        <w:pStyle w:val="1044"/>
      </w:pPr>
      <w:r/>
      <w:r/>
    </w:p>
    <w:p>
      <w:pPr>
        <w:pStyle w:val="1055"/>
        <w:numPr>
          <w:ilvl w:val="1"/>
          <w:numId w:val="13"/>
        </w:numPr>
        <w:ind w:left="-4"/>
        <w:spacing w:before="156" w:after="156"/>
        <w:rPr>
          <w:rFonts w:hint="default" w:ascii="Times New Roman" w:hAnsi="Times New Roman" w:cs="Times New Roman"/>
          <w:color w:val="auto"/>
          <w:highlight w:val="none"/>
        </w:rPr>
      </w:pPr>
      <w:r/>
      <w:bookmarkStart w:id="648" w:name="_Toc28950"/>
      <w:r/>
      <w:bookmarkStart w:id="649" w:name="_Toc339004728"/>
      <w:r/>
      <w:bookmarkStart w:id="650" w:name="_Toc28369"/>
      <w:r/>
      <w:bookmarkStart w:id="651" w:name="_Toc191462620"/>
      <w:r/>
      <w:bookmarkStart w:id="652" w:name="_Toc193103956"/>
      <w:r/>
      <w:bookmarkStart w:id="653" w:name="_Toc191462704"/>
      <w:r/>
      <w:bookmarkStart w:id="654" w:name="_Toc222807268"/>
      <w:r/>
      <w:bookmarkStart w:id="655" w:name="_Toc418769774"/>
      <w:r>
        <w:rPr>
          <w:rFonts w:hint="default" w:ascii="Times New Roman" w:hAnsi="Times New Roman" w:cs="Times New Roman"/>
          <w:color w:val="auto"/>
          <w:highlight w:val="none"/>
        </w:rPr>
        <w:t xml:space="preserve">侧墙</w:t>
      </w:r>
      <w:bookmarkEnd w:id="648"/>
      <w:r/>
      <w:bookmarkEnd w:id="649"/>
      <w:r/>
      <w:bookmarkEnd w:id="650"/>
      <w:r/>
      <w:bookmarkEnd w:id="651"/>
      <w:r/>
      <w:bookmarkEnd w:id="652"/>
      <w:r/>
      <w:bookmarkEnd w:id="653"/>
      <w:r/>
      <w:bookmarkEnd w:id="654"/>
      <w:r/>
      <w:bookmarkEnd w:id="655"/>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侧墙面与窗户结构及主要尺寸见图A.3。</w:t>
      </w:r>
      <w:bookmarkStart w:id="656" w:name="_Toc191462621"/>
      <w:r/>
      <w:bookmarkStart w:id="657" w:name="_Toc193103957"/>
      <w:r/>
      <w:bookmarkStart w:id="658" w:name="_Toc191462705"/>
      <w:r>
        <w:rPr>
          <w:rFonts w:hint="default" w:ascii="Times New Roman" w:hAnsi="Times New Roman" w:cs="Times New Roman"/>
          <w:color w:val="auto"/>
          <w:highlight w:val="none"/>
        </w:rPr>
        <w:t xml:space="preserve">侧墙里与窗户结构及主要尺寸见图A.4。</w:t>
      </w:r>
      <w:bookmarkEnd w:id="656"/>
      <w:r/>
      <w:bookmarkEnd w:id="657"/>
      <w:r/>
      <w:bookmarkEnd w:id="658"/>
      <w:r/>
      <w:r/>
    </w:p>
    <w:p>
      <w:pPr>
        <w:jc w:val="righ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r/>
    </w:p>
    <w:p>
      <w:pPr>
        <w:jc w:val="left"/>
        <w:rPr>
          <w:rFonts w:hint="default" w:ascii="Times New Roman" w:hAnsi="Times New Roman" w:eastAsia="黑体" w:cs="Times New Roman"/>
          <w:b/>
          <w:color w:val="auto"/>
          <w:sz w:val="18"/>
          <w:szCs w:val="18"/>
          <w:highlight w:val="none"/>
        </w:rPr>
      </w:pPr>
      <w:r>
        <w:rPr>
          <w:rFonts w:hint="default" w:ascii="Times New Roman" w:hAnsi="Times New Roman" w:eastAsia="黑体" w:cs="Times New Roman"/>
          <w:b/>
          <w:color w:val="auto"/>
          <w:sz w:val="18"/>
          <w:szCs w:val="18"/>
          <w:highlight w:val="none"/>
        </w:rPr>
      </w:r>
      <w:r/>
    </w:p>
    <w:p>
      <w:pPr>
        <w:jc w:val="left"/>
        <w:rPr>
          <w:rFonts w:hint="default" w:ascii="Times New Roman" w:hAnsi="Times New Roman" w:eastAsia="黑体" w:cs="Times New Roman"/>
          <w:b/>
          <w:color w:val="auto"/>
          <w:sz w:val="18"/>
          <w:szCs w:val="18"/>
          <w:highlight w:val="none"/>
        </w:rPr>
      </w:pPr>
      <w:r>
        <w:rPr>
          <w:rFonts w:hint="default" w:ascii="Times New Roman" w:hAnsi="Times New Roman" w:eastAsia="黑体" w:cs="Times New Roman"/>
          <w:b/>
          <w:color w:val="auto"/>
          <w:sz w:val="18"/>
          <w:szCs w:val="18"/>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718276</wp:posOffset>
                </wp:positionH>
                <wp:positionV relativeFrom="paragraph">
                  <wp:posOffset>43656</wp:posOffset>
                </wp:positionV>
                <wp:extent cx="4732655" cy="6583045"/>
                <wp:effectExtent l="0" t="0" r="4445" b="8255"/>
                <wp:wrapTopAndBottom/>
                <wp:docPr id="11" name="图片 214" descr="C:\Users\13801\Pictures\侧墙 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53062" name="图片 214" descr="C:\Users\13801\Pictures\侧墙 面.jpg"/>
                        <pic:cNvPicPr>
                          <a:picLocks noChangeAspect="1"/>
                        </pic:cNvPicPr>
                        <pic:nvPr/>
                      </pic:nvPicPr>
                      <pic:blipFill>
                        <a:blip r:embed="rId27"/>
                        <a:srcRect l="2892" t="4404" r="3438" b="3406"/>
                        <a:stretch/>
                      </pic:blipFill>
                      <pic:spPr bwMode="auto">
                        <a:xfrm>
                          <a:off x="0" y="0"/>
                          <a:ext cx="4732654" cy="65830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91008;o:allowoverlap:true;o:allowincell:true;mso-position-horizontal-relative:text;margin-left:56.6pt;mso-position-horizontal:absolute;mso-position-vertical-relative:text;margin-top:3.4pt;mso-position-vertical:absolute;width:372.6pt;height:518.4pt;mso-wrap-distance-left:9.0pt;mso-wrap-distance-top:0.0pt;mso-wrap-distance-right:9.0pt;mso-wrap-distance-bottom:0.0pt;" stroked="f">
                <v:path textboxrect="0,0,0,0"/>
                <w10:wrap type="topAndBottom"/>
                <v:imagedata r:id="rId27" o:title=""/>
              </v:shape>
            </w:pict>
          </mc:Fallback>
        </mc:AlternateContent>
      </w:r>
      <w:r>
        <w:rPr>
          <w:rFonts w:hint="default" w:ascii="Times New Roman" w:hAnsi="Times New Roman" w:eastAsia="黑体" w:cs="Times New Roman"/>
          <w:b/>
          <w:color w:val="auto"/>
          <w:sz w:val="18"/>
          <w:szCs w:val="18"/>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图A.3侧墙面与窗户结构及主要尺寸</w:t>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rPr>
          <w:rFonts w:hint="default" w:ascii="Times New Roman" w:hAnsi="Times New Roman" w:eastAsia="仿宋" w:cs="Times New Roman"/>
          <w:color w:val="auto"/>
          <w:szCs w:val="24"/>
          <w:highlight w:val="none"/>
        </w:rPr>
      </w:r>
      <w:r/>
    </w:p>
    <w:p>
      <w:pPr>
        <w:jc w:val="right"/>
        <w:rPr>
          <w:rFonts w:hint="default" w:ascii="Times New Roman" w:hAnsi="Times New Roman" w:eastAsia="仿宋" w:cs="Times New Roman"/>
          <w:color w:val="auto"/>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bookmarkStart w:id="659" w:name="_Toc28348"/>
      <w:r/>
      <w:bookmarkStart w:id="660" w:name="_Toc418769775"/>
      <w:r/>
      <w:bookmarkStart w:id="661" w:name="_Toc25375"/>
      <w:r/>
      <w:bookmarkStart w:id="662" w:name="_Toc418767562"/>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659"/>
      <w:r/>
      <w:bookmarkEnd w:id="660"/>
      <w:r/>
      <w:bookmarkEnd w:id="661"/>
      <w:r/>
      <w:bookmarkEnd w:id="662"/>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5955030" cy="7819390"/>
                <wp:effectExtent l="0" t="0" r="1270" b="3810"/>
                <wp:docPr id="12" name="图片 3" descr="新建 Microsoft Word 文档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descr="新建 Microsoft Word 文档_页面_3"/>
                        <pic:cNvPicPr>
                          <a:picLocks noChangeAspect="1"/>
                        </pic:cNvPicPr>
                        <pic:nvPr/>
                      </pic:nvPicPr>
                      <pic:blipFill>
                        <a:blip r:embed="rId28"/>
                        <a:srcRect l="26675" t="16983" r="19095" b="29179"/>
                        <a:stretch/>
                      </pic:blipFill>
                      <pic:spPr bwMode="auto">
                        <a:xfrm>
                          <a:off x="0" y="0"/>
                          <a:ext cx="5955030" cy="781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68.9pt;height:615.7pt;mso-wrap-distance-left:0.0pt;mso-wrap-distance-top:0.0pt;mso-wrap-distance-right:0.0pt;mso-wrap-distance-bottom:0.0pt;" stroked="f">
                <v:path textboxrect="0,0,0,0"/>
                <v:imagedata r:id="rId28" o:title=""/>
              </v:shape>
            </w:pict>
          </mc:Fallback>
        </mc:AlternateContent>
      </w:r>
      <w:r/>
    </w:p>
    <w:p>
      <w:pPr>
        <w:jc w:val="left"/>
        <w:tabs>
          <w:tab w:val="left" w:pos="4280" w:leader="none"/>
        </w:tabs>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285750</wp:posOffset>
                </wp:positionH>
                <wp:positionV relativeFrom="paragraph">
                  <wp:posOffset>3700145</wp:posOffset>
                </wp:positionV>
                <wp:extent cx="519430" cy="411480"/>
                <wp:effectExtent l="0" t="0" r="1270" b="7620"/>
                <wp:wrapNone/>
                <wp:docPr id="13" name="图片 213" descr="02 侧围墙-文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13" descr="02 侧围墙-文字"/>
                        <pic:cNvPicPr>
                          <a:picLocks noChangeAspect="1"/>
                        </pic:cNvPicPr>
                        <pic:nvPr/>
                      </pic:nvPicPr>
                      <pic:blipFill>
                        <a:blip r:embed="rId29"/>
                        <a:srcRect l="36073" t="61638" r="46101" b="27063"/>
                        <a:stretch/>
                      </pic:blipFill>
                      <pic:spPr bwMode="auto">
                        <a:xfrm>
                          <a:off x="0" y="0"/>
                          <a:ext cx="519430" cy="41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22.5pt;mso-position-horizontal:absolute;mso-position-vertical-relative:text;margin-top:291.3pt;mso-position-vertical:absolute;width:40.9pt;height:32.4pt;mso-wrap-distance-left:9.0pt;mso-wrap-distance-top:0.0pt;mso-wrap-distance-right:9.0pt;mso-wrap-distance-bottom:0.0pt;" stroked="f">
                <v:path textboxrect="0,0,0,0"/>
                <v:imagedata r:id="rId29"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图A.4  侧墙里与窗户结构及主要尺寸</w:t>
      </w:r>
      <w:r/>
    </w:p>
    <w:p>
      <w:pPr>
        <w:pStyle w:val="1044"/>
      </w:pPr>
      <w:r/>
      <w:r/>
    </w:p>
    <w:p>
      <w:pPr>
        <w:pStyle w:val="1055"/>
        <w:numPr>
          <w:ilvl w:val="1"/>
          <w:numId w:val="13"/>
        </w:numPr>
        <w:ind w:left="-16"/>
        <w:spacing w:before="156" w:after="156"/>
        <w:rPr>
          <w:rFonts w:hint="default" w:ascii="Times New Roman" w:hAnsi="Times New Roman" w:cs="Times New Roman"/>
          <w:color w:val="auto"/>
          <w:highlight w:val="none"/>
        </w:rPr>
      </w:pPr>
      <w:r/>
      <w:bookmarkStart w:id="663" w:name="_Toc193103958"/>
      <w:r/>
      <w:bookmarkStart w:id="664" w:name="_Toc191462622"/>
      <w:r/>
      <w:bookmarkStart w:id="665" w:name="_Toc191462706"/>
      <w:r/>
      <w:bookmarkStart w:id="666" w:name="_Toc888"/>
      <w:r/>
      <w:bookmarkStart w:id="667" w:name="_Toc339004729"/>
      <w:r/>
      <w:bookmarkStart w:id="668" w:name="_Toc222807269"/>
      <w:r/>
      <w:bookmarkStart w:id="669" w:name="_Toc17582"/>
      <w:r/>
      <w:bookmarkStart w:id="670" w:name="_Toc418769776"/>
      <w:r>
        <w:rPr>
          <w:rFonts w:hint="default" w:ascii="Times New Roman" w:hAnsi="Times New Roman" w:cs="Times New Roman"/>
          <w:color w:val="auto"/>
          <w:highlight w:val="none"/>
        </w:rPr>
        <w:t xml:space="preserve">开门山</w:t>
      </w:r>
      <w:bookmarkEnd w:id="663"/>
      <w:r/>
      <w:bookmarkEnd w:id="664"/>
      <w:r/>
      <w:bookmarkEnd w:id="665"/>
      <w:r>
        <w:rPr>
          <w:rFonts w:hint="default" w:ascii="Times New Roman" w:hAnsi="Times New Roman" w:cs="Times New Roman"/>
          <w:color w:val="auto"/>
          <w:highlight w:val="none"/>
        </w:rPr>
        <w:t xml:space="preserve">墙</w:t>
      </w:r>
      <w:bookmarkEnd w:id="666"/>
      <w:r/>
      <w:bookmarkEnd w:id="667"/>
      <w:r/>
      <w:bookmarkEnd w:id="668"/>
      <w:r/>
      <w:bookmarkEnd w:id="669"/>
      <w:r/>
      <w:bookmarkEnd w:id="670"/>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开门山墙面结构及主要尺寸见图A.5。</w:t>
      </w:r>
      <w:bookmarkStart w:id="671" w:name="_Toc193103959"/>
      <w:r/>
      <w:bookmarkStart w:id="672" w:name="_Toc191462707"/>
      <w:r/>
      <w:bookmarkStart w:id="673" w:name="_Toc191462623"/>
      <w:r>
        <w:rPr>
          <w:rFonts w:hint="default" w:ascii="Times New Roman" w:hAnsi="Times New Roman" w:cs="Times New Roman"/>
          <w:color w:val="auto"/>
          <w:highlight w:val="none"/>
        </w:rPr>
        <w:t xml:space="preserve">开门山墙里结构及主要尺寸见图A.6。</w:t>
      </w:r>
      <w:bookmarkEnd w:id="671"/>
      <w:r/>
      <w:bookmarkEnd w:id="672"/>
      <w:r/>
      <w:bookmarkEnd w:id="673"/>
      <w:r/>
      <w:r/>
    </w:p>
    <w:p>
      <w:pPr>
        <w:jc w:val="right"/>
        <w:rPr>
          <w:rFonts w:hint="default" w:ascii="Times New Roman" w:hAnsi="Times New Roman" w:eastAsia="仿宋" w:cs="Times New Roman"/>
          <w:color w:val="auto"/>
          <w:szCs w:val="24"/>
          <w:highlight w:val="none"/>
        </w:rPr>
      </w:pPr>
      <w:r/>
      <w:bookmarkStart w:id="674" w:name="_Toc418767564"/>
      <w:r/>
      <w:bookmarkStart w:id="675" w:name="_Toc19016"/>
      <w:r/>
      <w:bookmarkStart w:id="676" w:name="_Toc418769777"/>
      <w:r/>
      <w:bookmarkStart w:id="677" w:name="_Toc1965"/>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674"/>
      <w:r/>
      <w:bookmarkEnd w:id="675"/>
      <w:r/>
      <w:bookmarkEnd w:id="676"/>
      <w:r/>
      <w:bookmarkEnd w:id="677"/>
      <w:r/>
      <w:r/>
    </w:p>
    <w:p>
      <w:pPr>
        <w:jc w:val="left"/>
        <w:rPr>
          <w:rFonts w:hint="default" w:ascii="Times New Roman" w:hAnsi="Times New Roman" w:eastAsia="黑体" w:cs="Times New Roman"/>
          <w:b/>
          <w:color w:val="auto"/>
          <w:sz w:val="18"/>
          <w:szCs w:val="18"/>
          <w:highlight w:val="none"/>
        </w:rPr>
      </w:pPr>
      <w:r>
        <w:rPr>
          <w:rFonts w:hint="default" w:ascii="Times New Roman" w:hAnsi="Times New Roman" w:eastAsia="黑体" w:cs="Times New Roman"/>
          <w:b/>
          <w:color w:val="auto"/>
          <w:sz w:val="18"/>
          <w:szCs w:val="18"/>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200660</wp:posOffset>
                </wp:positionH>
                <wp:positionV relativeFrom="paragraph">
                  <wp:posOffset>4580890</wp:posOffset>
                </wp:positionV>
                <wp:extent cx="5219700" cy="3053080"/>
                <wp:effectExtent l="0" t="0" r="0" b="7620"/>
                <wp:wrapTopAndBottom/>
                <wp:docPr id="14" name="图片 212" descr="12m单 山墙 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29963" name="图片 212" descr="12m单 山墙 面"/>
                        <pic:cNvPicPr>
                          <a:picLocks noChangeAspect="1"/>
                        </pic:cNvPicPr>
                        <pic:nvPr/>
                      </pic:nvPicPr>
                      <pic:blipFill>
                        <a:blip r:embed="rId30"/>
                        <a:srcRect l="0" t="58203" r="0" b="0"/>
                        <a:stretch/>
                      </pic:blipFill>
                      <pic:spPr bwMode="auto">
                        <a:xfrm>
                          <a:off x="0" y="0"/>
                          <a:ext cx="5219699" cy="3053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2816;o:allowoverlap:true;o:allowincell:true;mso-position-horizontal-relative:text;margin-left:15.8pt;mso-position-horizontal:absolute;mso-position-vertical-relative:text;margin-top:360.7pt;mso-position-vertical:absolute;width:411.0pt;height:240.4pt;mso-wrap-distance-left:9.0pt;mso-wrap-distance-top:0.0pt;mso-wrap-distance-right:9.0pt;mso-wrap-distance-bottom:0.0pt;" stroked="f">
                <v:path textboxrect="0,0,0,0"/>
                <w10:wrap type="topAndBottom"/>
                <v:imagedata r:id="rId30" o:title=""/>
              </v:shape>
            </w:pict>
          </mc:Fallback>
        </mc:AlternateContent>
      </w:r>
      <w:r>
        <w:rPr>
          <w:rFonts w:hint="default" w:ascii="Times New Roman" w:hAnsi="Times New Roman" w:eastAsia="黑体" w:cs="Times New Roman"/>
          <w:b/>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5200" distR="115200" simplePos="0" relativeHeight="251708416" behindDoc="0" locked="0" layoutInCell="1" allowOverlap="1">
                <wp:simplePos x="0" y="0"/>
                <wp:positionH relativeFrom="column">
                  <wp:posOffset>0</wp:posOffset>
                </wp:positionH>
                <wp:positionV relativeFrom="paragraph">
                  <wp:posOffset>0</wp:posOffset>
                </wp:positionV>
                <wp:extent cx="5420360" cy="4580890"/>
                <wp:effectExtent l="0" t="0" r="2540" b="3810"/>
                <wp:wrapTopAndBottom/>
                <wp:docPr id="15" name="图片 4" descr="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20439" name="图片 4" descr="08-(1)"/>
                        <pic:cNvPicPr>
                          <a:picLocks noChangeAspect="1"/>
                        </pic:cNvPicPr>
                        <pic:nvPr/>
                      </pic:nvPicPr>
                      <pic:blipFill>
                        <a:blip r:embed="rId31"/>
                        <a:stretch/>
                      </pic:blipFill>
                      <pic:spPr bwMode="auto">
                        <a:xfrm>
                          <a:off x="0" y="0"/>
                          <a:ext cx="5420359" cy="45808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708416;o:allowoverlap:true;o:allowincell:true;mso-position-horizontal-relative:text;margin-left:0.0pt;mso-position-horizontal:absolute;mso-position-vertical-relative:text;margin-top:0.0pt;mso-position-vertical:absolute;width:426.8pt;height:360.7pt;mso-wrap-distance-left:9.1pt;mso-wrap-distance-top:0.0pt;mso-wrap-distance-right:9.1pt;mso-wrap-distance-bottom:0.0pt;" stroked="f">
                <v:path textboxrect="0,0,0,0"/>
                <w10:wrap type="topAndBottom"/>
                <v:imagedata r:id="rId31" o:title=""/>
              </v:shape>
            </w:pict>
          </mc:Fallback>
        </mc:AlternateContent>
      </w:r>
      <w:r>
        <w:rPr>
          <w:rFonts w:hint="default" w:ascii="Times New Roman" w:hAnsi="Times New Roman" w:eastAsia="黑体" w:cs="Times New Roman"/>
          <w:b/>
          <w:color w:val="auto"/>
          <w:sz w:val="18"/>
          <w:szCs w:val="18"/>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图A.5  开门山墙面结构及主要尺寸</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right"/>
        <w:rPr>
          <w:rFonts w:hint="default" w:ascii="Times New Roman" w:hAnsi="Times New Roman" w:eastAsia="仿宋" w:cs="Times New Roman"/>
          <w:color w:val="auto"/>
          <w:szCs w:val="24"/>
          <w:highlight w:val="none"/>
        </w:rPr>
      </w:pPr>
      <w:r/>
      <w:bookmarkStart w:id="678" w:name="_Toc8854"/>
      <w:r/>
      <w:bookmarkStart w:id="679" w:name="_Toc23840"/>
      <w:r/>
      <w:bookmarkStart w:id="680" w:name="_Toc418769778"/>
      <w:r/>
      <w:bookmarkStart w:id="681" w:name="_Toc418767565"/>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678"/>
      <w:r/>
      <w:bookmarkEnd w:id="679"/>
      <w:r/>
      <w:bookmarkEnd w:id="680"/>
      <w:r/>
      <w:bookmarkEnd w:id="681"/>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631190</wp:posOffset>
                </wp:positionH>
                <wp:positionV relativeFrom="paragraph">
                  <wp:posOffset>104140</wp:posOffset>
                </wp:positionV>
                <wp:extent cx="5123815" cy="7653655"/>
                <wp:effectExtent l="0" t="0" r="6985" b="4445"/>
                <wp:wrapTopAndBottom/>
                <wp:docPr id="16" name="图片 211" descr="C:\Users\13801\Pictures\山墙 里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11" descr="C:\Users\13801\Pictures\山墙 里 .jpg"/>
                        <pic:cNvPicPr>
                          <a:picLocks noChangeAspect="1"/>
                        </pic:cNvPicPr>
                        <pic:nvPr/>
                      </pic:nvPicPr>
                      <pic:blipFill>
                        <a:blip r:embed="rId32"/>
                        <a:srcRect l="5115" t="1741" r="5391" b="3751"/>
                        <a:stretch/>
                      </pic:blipFill>
                      <pic:spPr bwMode="auto">
                        <a:xfrm>
                          <a:off x="0" y="0"/>
                          <a:ext cx="5123815" cy="7653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93056;o:allowoverlap:true;o:allowincell:true;mso-position-horizontal-relative:text;margin-left:49.7pt;mso-position-horizontal:absolute;mso-position-vertical-relative:text;margin-top:8.2pt;mso-position-vertical:absolute;width:403.4pt;height:602.6pt;mso-wrap-distance-left:9.0pt;mso-wrap-distance-top:0.0pt;mso-wrap-distance-right:9.0pt;mso-wrap-distance-bottom:0.0pt;" stroked="f">
                <v:path textboxrect="0,0,0,0"/>
                <w10:wrap type="topAndBottom"/>
                <v:imagedata r:id="rId32" o:title=""/>
              </v:shape>
            </w:pict>
          </mc:Fallback>
        </mc:AlternateContent>
      </w:r>
      <w:r>
        <w:rPr>
          <w:rFonts w:hint="default" w:ascii="Times New Roman" w:hAnsi="Times New Roman" w:eastAsia="仿宋" w:cs="Times New Roman"/>
          <w:color w:val="auto"/>
          <w:szCs w:val="24"/>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图A.6  开门山墙里结构及主要尺寸</w:t>
      </w:r>
      <w:r/>
    </w:p>
    <w:p>
      <w:pPr>
        <w:pStyle w:val="1055"/>
        <w:numPr>
          <w:ilvl w:val="1"/>
          <w:numId w:val="13"/>
        </w:numPr>
        <w:ind w:left="-4"/>
        <w:spacing w:before="156" w:after="156"/>
        <w:rPr>
          <w:rFonts w:hint="default" w:ascii="Times New Roman" w:hAnsi="Times New Roman" w:cs="Times New Roman"/>
          <w:color w:val="auto"/>
          <w:highlight w:val="none"/>
        </w:rPr>
      </w:pPr>
      <w:r/>
      <w:bookmarkStart w:id="682" w:name="_Toc339004730"/>
      <w:r/>
      <w:bookmarkStart w:id="683" w:name="_Toc418769779"/>
      <w:r/>
      <w:bookmarkStart w:id="684" w:name="_Toc1271"/>
      <w:r/>
      <w:bookmarkStart w:id="685" w:name="_Toc191462624"/>
      <w:r/>
      <w:bookmarkStart w:id="686" w:name="_Toc193103960"/>
      <w:r/>
      <w:bookmarkStart w:id="687" w:name="_Toc222807270"/>
      <w:r/>
      <w:bookmarkStart w:id="688" w:name="_Toc191462708"/>
      <w:r/>
      <w:bookmarkStart w:id="689" w:name="_Toc10751"/>
      <w:r>
        <w:rPr>
          <w:rFonts w:hint="default" w:ascii="Times New Roman" w:hAnsi="Times New Roman" w:cs="Times New Roman"/>
          <w:color w:val="auto"/>
          <w:highlight w:val="none"/>
        </w:rPr>
        <w:t xml:space="preserve">开窗山墙</w:t>
      </w:r>
      <w:bookmarkEnd w:id="682"/>
      <w:r/>
      <w:bookmarkEnd w:id="683"/>
      <w:r/>
      <w:bookmarkEnd w:id="684"/>
      <w:r/>
      <w:bookmarkEnd w:id="685"/>
      <w:r/>
      <w:bookmarkEnd w:id="686"/>
      <w:r/>
      <w:bookmarkEnd w:id="687"/>
      <w:r/>
      <w:bookmarkEnd w:id="688"/>
      <w:r/>
      <w:bookmarkEnd w:id="689"/>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开窗山墙面结构及主要尺寸见图A.7。</w:t>
      </w:r>
      <w:bookmarkStart w:id="690" w:name="_Toc191462625"/>
      <w:r/>
      <w:bookmarkStart w:id="691" w:name="_Toc191462709"/>
      <w:r/>
      <w:bookmarkStart w:id="692" w:name="_Toc193103961"/>
      <w:r>
        <w:rPr>
          <w:rFonts w:hint="default" w:ascii="Times New Roman" w:hAnsi="Times New Roman" w:cs="Times New Roman"/>
          <w:color w:val="auto"/>
          <w:highlight w:val="none"/>
        </w:rPr>
        <w:t xml:space="preserve">开窗山墙里结构及主要尺寸见图A.8。</w:t>
      </w:r>
      <w:bookmarkEnd w:id="690"/>
      <w:r/>
      <w:bookmarkEnd w:id="691"/>
      <w:r/>
      <w:bookmarkEnd w:id="692"/>
      <w:r/>
      <w:r/>
    </w:p>
    <w:p>
      <w:pPr>
        <w:jc w:val="right"/>
        <w:rPr>
          <w:rFonts w:hint="default" w:ascii="Times New Roman" w:hAnsi="Times New Roman" w:eastAsia="仿宋" w:cs="Times New Roman"/>
          <w:color w:val="auto"/>
          <w:szCs w:val="24"/>
          <w:highlight w:val="none"/>
        </w:rPr>
      </w:pPr>
      <w:r/>
      <w:bookmarkStart w:id="693" w:name="_Toc7439"/>
      <w:r/>
      <w:bookmarkStart w:id="694" w:name="_Toc3856"/>
      <w:r/>
      <w:bookmarkStart w:id="695" w:name="_Toc418769780"/>
      <w:r/>
      <w:bookmarkStart w:id="696" w:name="_Toc418767567"/>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693"/>
      <w:r/>
      <w:bookmarkEnd w:id="694"/>
      <w:r/>
      <w:bookmarkEnd w:id="695"/>
      <w:r/>
      <w:bookmarkEnd w:id="696"/>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212090</wp:posOffset>
                </wp:positionH>
                <wp:positionV relativeFrom="paragraph">
                  <wp:posOffset>80280</wp:posOffset>
                </wp:positionV>
                <wp:extent cx="5528310" cy="4378325"/>
                <wp:effectExtent l="0" t="0" r="8890" b="3175"/>
                <wp:wrapTopAndBottom/>
                <wp:docPr id="17" name="图片 208" descr="12m单 无门山墙 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3813" name="图片 208" descr="12m单 无门山墙 面"/>
                        <pic:cNvPicPr>
                          <a:picLocks noChangeAspect="1"/>
                        </pic:cNvPicPr>
                        <pic:nvPr/>
                      </pic:nvPicPr>
                      <pic:blipFill>
                        <a:blip r:embed="rId33"/>
                        <a:stretch/>
                      </pic:blipFill>
                      <pic:spPr bwMode="auto">
                        <a:xfrm>
                          <a:off x="0" y="0"/>
                          <a:ext cx="5528309" cy="43783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83840;o:allowoverlap:true;o:allowincell:true;mso-position-horizontal-relative:text;margin-left:16.7pt;mso-position-horizontal:absolute;mso-position-vertical-relative:text;margin-top:6.3pt;mso-position-vertical:absolute;width:435.3pt;height:344.8pt;mso-wrap-distance-left:9.0pt;mso-wrap-distance-top:0.0pt;mso-wrap-distance-right:9.0pt;mso-wrap-distance-bottom:0.0pt;" stroked="f">
                <v:path textboxrect="0,0,0,0"/>
                <w10:wrap type="topAndBottom"/>
                <v:imagedata r:id="rId33" o:title=""/>
              </v:shape>
            </w:pict>
          </mc:Fallback>
        </mc:AlternateContent>
      </w: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图A.7  开窗山墙面结构及主要尺寸</w: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right"/>
        <w:rPr>
          <w:rFonts w:hint="default" w:ascii="Times New Roman" w:hAnsi="Times New Roman" w:eastAsia="仿宋" w:cs="Times New Roman"/>
          <w:color w:val="auto"/>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rPr>
          <w:highlight w:val="none"/>
        </w:rPr>
      </w:r>
      <w:r>
        <w:rPr>
          <w:highlight w:val="none"/>
        </w:rPr>
      </w:r>
      <w:r/>
    </w:p>
    <w:p>
      <w:pPr>
        <w:jc w:val="right"/>
        <w:rPr>
          <w:highlight w:val="none"/>
        </w:rPr>
      </w:pPr>
      <w:r/>
      <w:bookmarkStart w:id="697" w:name="_Toc5117"/>
      <w:r/>
      <w:bookmarkStart w:id="698" w:name="_Toc13817"/>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697"/>
      <w:r/>
      <w:bookmarkEnd w:id="698"/>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462915</wp:posOffset>
                </wp:positionH>
                <wp:positionV relativeFrom="paragraph">
                  <wp:posOffset>6985</wp:posOffset>
                </wp:positionV>
                <wp:extent cx="4980305" cy="6481445"/>
                <wp:effectExtent l="0" t="0" r="10795" b="8255"/>
                <wp:wrapTopAndBottom/>
                <wp:docPr id="18" name="图片 205" descr="C:\Users\13801\Pictures\开窗山墙 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205" descr="C:\Users\13801\Pictures\开窗山墙 里.jpg"/>
                        <pic:cNvPicPr>
                          <a:picLocks noChangeAspect="1"/>
                        </pic:cNvPicPr>
                        <pic:nvPr/>
                      </pic:nvPicPr>
                      <pic:blipFill>
                        <a:blip r:embed="rId34"/>
                        <a:srcRect l="0" t="3563" r="0" b="4427"/>
                        <a:stretch/>
                      </pic:blipFill>
                      <pic:spPr bwMode="auto">
                        <a:xfrm>
                          <a:off x="0" y="0"/>
                          <a:ext cx="4980305" cy="648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94080;o:allowoverlap:true;o:allowincell:true;mso-position-horizontal-relative:text;margin-left:36.4pt;mso-position-horizontal:absolute;mso-position-vertical-relative:text;margin-top:0.5pt;mso-position-vertical:absolute;width:392.1pt;height:510.3pt;mso-wrap-distance-left:9.0pt;mso-wrap-distance-top:0.0pt;mso-wrap-distance-right:9.0pt;mso-wrap-distance-bottom:0.0pt;" stroked="f">
                <v:path textboxrect="0,0,0,0"/>
                <w10:wrap type="topAndBottom"/>
                <v:imagedata r:id="rId34"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图A.8  开窗山墙里结构及主要尺寸</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highlight w:val="none"/>
        </w:rPr>
        <w:br w:type="page" w:clear="all"/>
      </w:r>
      <w:r>
        <w:rPr>
          <w:highlight w:val="none"/>
        </w:rPr>
      </w:r>
      <w:r/>
    </w:p>
    <w:p>
      <w:pPr>
        <w:pStyle w:val="1055"/>
        <w:numPr>
          <w:ilvl w:val="1"/>
          <w:numId w:val="13"/>
        </w:numPr>
        <w:ind w:left="10"/>
        <w:spacing w:before="156" w:after="156"/>
        <w:rPr>
          <w:rFonts w:hint="default" w:ascii="Times New Roman" w:hAnsi="Times New Roman" w:cs="Times New Roman"/>
          <w:color w:val="auto"/>
          <w:highlight w:val="none"/>
        </w:rPr>
      </w:pPr>
      <w:r/>
      <w:bookmarkStart w:id="699" w:name="_Toc541"/>
      <w:r/>
      <w:bookmarkStart w:id="700" w:name="_Toc418769781"/>
      <w:r/>
      <w:bookmarkStart w:id="701" w:name="_Toc339004731"/>
      <w:r/>
      <w:bookmarkStart w:id="702" w:name="_Toc5562"/>
      <w:r>
        <w:rPr>
          <w:rFonts w:hint="default" w:ascii="Times New Roman" w:hAnsi="Times New Roman" w:cs="Times New Roman"/>
          <w:color w:val="auto"/>
          <w:highlight w:val="none"/>
        </w:rPr>
        <w:t xml:space="preserve">三角窗</w:t>
      </w:r>
      <w:bookmarkEnd w:id="699"/>
      <w:r/>
      <w:bookmarkEnd w:id="700"/>
      <w:r/>
      <w:bookmarkEnd w:id="701"/>
      <w:r/>
      <w:bookmarkEnd w:id="702"/>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三角窗结构及主要尺寸见图A.9。</w:t>
      </w:r>
      <w:r/>
    </w:p>
    <w:p>
      <w:pPr>
        <w:jc w:val="right"/>
        <w:rPr>
          <w:rFonts w:hint="default" w:ascii="Times New Roman" w:hAnsi="Times New Roman" w:eastAsia="仿宋" w:cs="Times New Roman"/>
          <w:color w:val="auto"/>
          <w:szCs w:val="24"/>
          <w:highlight w:val="none"/>
        </w:rPr>
      </w:pPr>
      <w:r/>
      <w:bookmarkStart w:id="707" w:name="_Toc418769782"/>
      <w:r/>
      <w:bookmarkStart w:id="708" w:name="_Toc12388"/>
      <w:r/>
      <w:bookmarkStart w:id="709" w:name="_Toc20854"/>
      <w:r/>
      <w:bookmarkStart w:id="710" w:name="_Toc418767569"/>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707"/>
      <w:r/>
      <w:bookmarkEnd w:id="708"/>
      <w:r/>
      <w:bookmarkEnd w:id="709"/>
      <w:r/>
      <w:bookmarkEnd w:id="710"/>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-152400</wp:posOffset>
                </wp:positionH>
                <wp:positionV relativeFrom="paragraph">
                  <wp:posOffset>259170</wp:posOffset>
                </wp:positionV>
                <wp:extent cx="6042660" cy="7707630"/>
                <wp:effectExtent l="0" t="0" r="2540" b="1270"/>
                <wp:wrapTopAndBottom/>
                <wp:docPr id="19"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88456" name="图片 204"/>
                        <pic:cNvPicPr>
                          <a:picLocks noChangeAspect="1"/>
                        </pic:cNvPicPr>
                        <pic:nvPr/>
                      </pic:nvPicPr>
                      <pic:blipFill>
                        <a:blip r:embed="rId35"/>
                        <a:srcRect l="25613" t="3439" r="27477" b="864"/>
                        <a:stretch/>
                      </pic:blipFill>
                      <pic:spPr bwMode="auto">
                        <a:xfrm>
                          <a:off x="0" y="0"/>
                          <a:ext cx="6042659" cy="77076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9744;o:allowoverlap:true;o:allowincell:true;mso-position-horizontal-relative:text;margin-left:-12.0pt;mso-position-horizontal:absolute;mso-position-vertical-relative:text;margin-top:20.4pt;mso-position-vertical:absolute;width:475.8pt;height:606.9pt;mso-wrap-distance-left:9.0pt;mso-wrap-distance-top:0.0pt;mso-wrap-distance-right:9.0pt;mso-wrap-distance-bottom:0.0pt;" stroked="f">
                <v:path textboxrect="0,0,0,0"/>
                <w10:wrap type="topAndBottom"/>
                <v:imagedata r:id="rId35" o:title=""/>
              </v:shape>
            </w:pict>
          </mc:Fallback>
        </mc:AlternateContent>
      </w:r>
      <w:r>
        <w:rPr>
          <w:rFonts w:hint="default" w:ascii="Times New Roman" w:hAnsi="Times New Roman" w:eastAsia="仿宋" w:cs="Times New Roman"/>
          <w:color w:val="auto"/>
          <w:szCs w:val="24"/>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图A.9  三角窗结构及主要尺寸</w:t>
      </w:r>
      <w:r/>
    </w:p>
    <w:p>
      <w:pPr>
        <w:pStyle w:val="1055"/>
        <w:numPr>
          <w:ilvl w:val="1"/>
          <w:numId w:val="13"/>
        </w:numPr>
        <w:ind w:left="10"/>
        <w:spacing w:before="156" w:after="156"/>
        <w:rPr>
          <w:rFonts w:hint="default" w:ascii="Times New Roman" w:hAnsi="Times New Roman" w:cs="Times New Roman"/>
          <w:color w:val="auto"/>
          <w:highlight w:val="none"/>
        </w:rPr>
      </w:pPr>
      <w:r/>
      <w:bookmarkStart w:id="711" w:name="_Toc7883"/>
      <w:r/>
      <w:bookmarkStart w:id="712" w:name="_Toc418769783"/>
      <w:r/>
      <w:bookmarkStart w:id="713" w:name="_Toc19575"/>
      <w:r>
        <w:rPr>
          <w:rFonts w:hint="default" w:ascii="Times New Roman" w:hAnsi="Times New Roman" w:cs="Times New Roman"/>
          <w:color w:val="auto"/>
          <w:highlight w:val="none"/>
        </w:rPr>
        <w:t xml:space="preserve">门帘</w:t>
      </w:r>
      <w:bookmarkEnd w:id="711"/>
      <w:r/>
      <w:bookmarkEnd w:id="712"/>
      <w:r/>
      <w:bookmarkEnd w:id="713"/>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门帘结构及主要尺寸见图A.10。</w:t>
      </w:r>
      <w:r/>
    </w:p>
    <w:p>
      <w:pPr>
        <w:jc w:val="right"/>
        <w:rPr>
          <w:rFonts w:hint="default" w:ascii="Times New Roman" w:hAnsi="Times New Roman" w:eastAsia="仿宋" w:cs="Times New Roman"/>
          <w:color w:val="auto"/>
          <w:szCs w:val="24"/>
          <w:highlight w:val="none"/>
        </w:rPr>
      </w:pPr>
      <w:r/>
      <w:bookmarkStart w:id="715" w:name="_Toc418767571"/>
      <w:r/>
      <w:bookmarkStart w:id="716" w:name="_Toc4343"/>
      <w:r/>
      <w:bookmarkStart w:id="717" w:name="_Toc418769784"/>
      <w:r/>
      <w:bookmarkStart w:id="718" w:name="_Toc16545"/>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715"/>
      <w:r/>
      <w:bookmarkEnd w:id="716"/>
      <w:r/>
      <w:bookmarkEnd w:id="717"/>
      <w:r/>
      <w:bookmarkEnd w:id="718"/>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385898</wp:posOffset>
                </wp:positionH>
                <wp:positionV relativeFrom="paragraph">
                  <wp:posOffset>67162</wp:posOffset>
                </wp:positionV>
                <wp:extent cx="4874895" cy="4095750"/>
                <wp:effectExtent l="0" t="0" r="1905" b="6350"/>
                <wp:wrapTopAndBottom/>
                <wp:docPr id="20" name="图片 202" descr="12单 门帘、纱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875743" name="图片 202" descr="12单 门帘、纱门"/>
                        <pic:cNvPicPr>
                          <a:picLocks noChangeAspect="1"/>
                        </pic:cNvPicPr>
                        <pic:nvPr/>
                      </pic:nvPicPr>
                      <pic:blipFill>
                        <a:blip r:embed="rId36"/>
                        <a:srcRect l="9789" t="0" r="6584" b="53738"/>
                        <a:stretch/>
                      </pic:blipFill>
                      <pic:spPr bwMode="auto">
                        <a:xfrm>
                          <a:off x="0" y="0"/>
                          <a:ext cx="4874895" cy="40957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84864;o:allowoverlap:true;o:allowincell:true;mso-position-horizontal-relative:text;margin-left:30.4pt;mso-position-horizontal:absolute;mso-position-vertical-relative:text;margin-top:5.3pt;mso-position-vertical:absolute;width:383.8pt;height:322.5pt;mso-wrap-distance-left:9.0pt;mso-wrap-distance-top:0.0pt;mso-wrap-distance-right:9.0pt;mso-wrap-distance-bottom:0.0pt;" stroked="f">
                <v:path textboxrect="0,0,0,0"/>
                <w10:wrap type="topAndBottom"/>
                <v:imagedata r:id="rId36" o:title=""/>
              </v:shape>
            </w:pict>
          </mc:Fallback>
        </mc:AlternateContent>
      </w: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图A.10  门帘结构及主要尺寸</w:t>
      </w:r>
      <w:r/>
    </w:p>
    <w:p>
      <w:pPr>
        <w:pStyle w:val="1056"/>
        <w:jc w:val="left"/>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highlight w:val="none"/>
        </w:rPr>
        <w:br w:type="page" w:clear="all"/>
      </w:r>
      <w:r>
        <w:rPr>
          <w:highlight w:val="none"/>
        </w:rPr>
      </w:r>
      <w:r/>
    </w:p>
    <w:p>
      <w:pPr>
        <w:pStyle w:val="1055"/>
        <w:numPr>
          <w:ilvl w:val="1"/>
          <w:numId w:val="13"/>
        </w:numPr>
        <w:ind w:left="10"/>
        <w:spacing w:before="156" w:after="156"/>
        <w:rPr>
          <w:rFonts w:hint="default" w:ascii="Times New Roman" w:hAnsi="Times New Roman" w:cs="Times New Roman"/>
          <w:color w:val="auto"/>
          <w:highlight w:val="none"/>
        </w:rPr>
      </w:pPr>
      <w:r/>
      <w:bookmarkStart w:id="719" w:name="_Toc418769785"/>
      <w:r/>
      <w:bookmarkStart w:id="720" w:name="_Toc8830"/>
      <w:r/>
      <w:bookmarkStart w:id="721" w:name="_Toc18894"/>
      <w:r>
        <w:rPr>
          <w:rFonts w:hint="default" w:ascii="Times New Roman" w:hAnsi="Times New Roman" w:cs="Times New Roman"/>
          <w:color w:val="auto"/>
          <w:highlight w:val="none"/>
        </w:rPr>
        <w:t xml:space="preserve">纱门</w:t>
      </w:r>
      <w:bookmarkEnd w:id="719"/>
      <w:r/>
      <w:bookmarkEnd w:id="720"/>
      <w:r/>
      <w:bookmarkEnd w:id="721"/>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纱门结构及主要尺寸见图A.11。</w:t>
      </w:r>
      <w:r/>
    </w:p>
    <w:p>
      <w:pPr>
        <w:jc w:val="right"/>
        <w:rPr>
          <w:rFonts w:hint="default" w:ascii="Times New Roman" w:hAnsi="Times New Roman" w:eastAsia="仿宋" w:cs="Times New Roman"/>
          <w:color w:val="auto"/>
          <w:szCs w:val="24"/>
          <w:highlight w:val="none"/>
        </w:rPr>
      </w:pPr>
      <w:r/>
      <w:bookmarkStart w:id="722" w:name="_Toc418767573"/>
      <w:r/>
      <w:bookmarkStart w:id="723" w:name="_Toc418769786"/>
      <w:r/>
      <w:bookmarkStart w:id="724" w:name="_Toc5447"/>
      <w:r/>
      <w:bookmarkStart w:id="725" w:name="_Toc32167"/>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722"/>
      <w:r/>
      <w:bookmarkEnd w:id="723"/>
      <w:r/>
      <w:bookmarkEnd w:id="724"/>
      <w:r/>
      <w:bookmarkEnd w:id="725"/>
      <w:r/>
      <w:r/>
    </w:p>
    <w:p>
      <w:pPr>
        <w:rPr>
          <w:rFonts w:hint="default" w:ascii="Times New Roman" w:hAnsi="Times New Roman" w:eastAsia="黑体" w:cs="Times New Roman"/>
          <w:color w:val="auto"/>
          <w:sz w:val="18"/>
          <w:szCs w:val="18"/>
          <w:highlight w:val="none"/>
        </w:rPr>
      </w:pPr>
      <w:r>
        <w:rPr>
          <w:rFonts w:hint="default" w:ascii="Times New Roman" w:hAnsi="Times New Roman" w:eastAsia="仿宋"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align>center</wp:align>
                </wp:positionH>
                <wp:positionV relativeFrom="paragraph">
                  <wp:posOffset>458470</wp:posOffset>
                </wp:positionV>
                <wp:extent cx="5441315" cy="4822825"/>
                <wp:effectExtent l="0" t="0" r="6985" b="3175"/>
                <wp:wrapNone/>
                <wp:docPr id="21" name="图片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1"/>
                        <pic:cNvPicPr>
                          <a:picLocks noChangeAspect="1"/>
                        </pic:cNvPicPr>
                        <pic:nvPr/>
                      </pic:nvPicPr>
                      <pic:blipFill>
                        <a:blip r:embed="rId37"/>
                        <a:srcRect l="24419" t="14531" r="25486" b="14438"/>
                        <a:stretch/>
                      </pic:blipFill>
                      <pic:spPr bwMode="auto">
                        <a:xfrm>
                          <a:off x="0" y="0"/>
                          <a:ext cx="5441315" cy="4822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85888;o:allowoverlap:true;o:allowincell:true;mso-position-horizontal-relative:text;mso-position-horizontal:center;mso-position-vertical-relative:text;margin-top:36.1pt;mso-position-vertical:absolute;width:428.4pt;height:379.8pt;mso-wrap-distance-left:9.0pt;mso-wrap-distance-top:0.0pt;mso-wrap-distance-right:9.0pt;mso-wrap-distance-bottom:0.0pt;" stroked="f">
                <v:path textboxrect="0,0,0,0"/>
                <v:imagedata r:id="rId37" o:title=""/>
              </v:shape>
            </w:pict>
          </mc:Fallback>
        </mc:AlternateContent>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z w:val="18"/>
          <w:szCs w:val="18"/>
          <w:highlight w:val="none"/>
        </w:rPr>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-98425</wp:posOffset>
                </wp:positionH>
                <wp:positionV relativeFrom="paragraph">
                  <wp:posOffset>135890</wp:posOffset>
                </wp:positionV>
                <wp:extent cx="1004570" cy="218440"/>
                <wp:effectExtent l="0" t="0" r="11430" b="10160"/>
                <wp:wrapNone/>
                <wp:docPr id="22" name="图片 200" descr="02 侧围墙00000-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200" descr="02 侧围墙00000-Model"/>
                        <pic:cNvPicPr>
                          <a:picLocks noChangeAspect="1"/>
                        </pic:cNvPicPr>
                        <pic:nvPr/>
                      </pic:nvPicPr>
                      <pic:blipFill>
                        <a:blip r:embed="rId38"/>
                        <a:srcRect l="-6001" t="52328" r="75488" b="42343"/>
                        <a:stretch/>
                      </pic:blipFill>
                      <pic:spPr bwMode="auto">
                        <a:xfrm>
                          <a:off x="0" y="0"/>
                          <a:ext cx="1004570" cy="218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7696;o:allowoverlap:true;o:allowincell:true;mso-position-horizontal-relative:text;margin-left:-7.8pt;mso-position-horizontal:absolute;mso-position-vertical-relative:text;margin-top:10.7pt;mso-position-vertical:absolute;width:79.1pt;height:17.2pt;mso-wrap-distance-left:9.0pt;mso-wrap-distance-top:0.0pt;mso-wrap-distance-right:9.0pt;mso-wrap-distance-bottom:0.0pt;" stroked="f">
                <v:path textboxrect="0,0,0,0"/>
                <v:imagedata r:id="rId38" o:title=""/>
              </v:shape>
            </w:pict>
          </mc:Fallback>
        </mc:AlternateConten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图A.11  纱门结构及主要尺寸</w:t>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5"/>
        <w:numPr>
          <w:ilvl w:val="1"/>
          <w:numId w:val="13"/>
        </w:numPr>
        <w:ind w:left="10"/>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纱围</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纱围两侧与侧墙的结合通过锦丝搭扣带连接，纱围上端用捆扎带与杆件连接。 其结构及主要尺寸见图A.12 ）。</w:t>
      </w:r>
      <w:r/>
    </w:p>
    <w:p>
      <w:pPr>
        <w:jc w:val="righ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inline xmlns:wp="http://schemas.openxmlformats.org/drawingml/2006/wordprocessingDrawing" distT="0" distB="0" distL="0" distR="0">
                <wp:extent cx="5400675" cy="5487035"/>
                <wp:effectExtent l="0" t="0" r="9525" b="12065"/>
                <wp:docPr id="23" name="图片 5" descr="纱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纱围-2"/>
                        <pic:cNvPicPr>
                          <a:picLocks noChangeAspect="1"/>
                        </pic:cNvPicPr>
                        <pic:nvPr/>
                      </pic:nvPicPr>
                      <pic:blipFill>
                        <a:blip r:embed="rId39"/>
                        <a:srcRect l="21986" t="7135" r="13489" b="0"/>
                        <a:stretch/>
                      </pic:blipFill>
                      <pic:spPr bwMode="auto">
                        <a:xfrm>
                          <a:off x="0" y="0"/>
                          <a:ext cx="5400675" cy="5487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25.2pt;height:432.0pt;mso-wrap-distance-left:0.0pt;mso-wrap-distance-top:0.0pt;mso-wrap-distance-right:0.0pt;mso-wrap-distance-bottom:0.0pt;" stroked="f">
                <v:path textboxrect="0,0,0,0"/>
                <v:imagedata r:id="rId39" o:title=""/>
              </v:shape>
            </w:pict>
          </mc:Fallback>
        </mc:AlternateContent>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图A.12  纱围结构及主要尺寸</w:t>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5"/>
        <w:numPr>
          <w:ilvl w:val="1"/>
          <w:numId w:val="13"/>
        </w:numPr>
        <w:ind w:left="10"/>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包装袋</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包装袋结构及主要尺寸见图A.13。</w:t>
      </w:r>
      <w:r/>
    </w:p>
    <w:p>
      <w:pPr>
        <w:jc w:val="righ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align>center</wp:align>
                </wp:positionH>
                <wp:positionV relativeFrom="paragraph">
                  <wp:posOffset>52705</wp:posOffset>
                </wp:positionV>
                <wp:extent cx="6092825" cy="2729865"/>
                <wp:effectExtent l="0" t="0" r="3175" b="635"/>
                <wp:wrapNone/>
                <wp:docPr id="24"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9"/>
                        <pic:cNvPicPr>
                          <a:picLocks noChangeAspect="1"/>
                        </pic:cNvPicPr>
                        <pic:nvPr/>
                      </pic:nvPicPr>
                      <pic:blipFill>
                        <a:blip r:embed="rId40"/>
                        <a:srcRect l="7121" t="32796" r="11057" b="8554"/>
                        <a:stretch/>
                      </pic:blipFill>
                      <pic:spPr bwMode="auto">
                        <a:xfrm>
                          <a:off x="0" y="0"/>
                          <a:ext cx="6092825" cy="2729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0768;o:allowoverlap:true;o:allowincell:true;mso-position-horizontal-relative:text;mso-position-horizontal:center;mso-position-vertical-relative:text;margin-top:4.1pt;mso-position-vertical:absolute;width:479.8pt;height:214.9pt;mso-wrap-distance-left:9.0pt;mso-wrap-distance-top:0.0pt;mso-wrap-distance-right:9.0pt;mso-wrap-distance-bottom:0.0pt;" stroked="f">
                <v:path textboxrect="0,0,0,0"/>
                <v:imagedata r:id="rId40"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图A.13  包装袋结构及主要尺寸</w:t>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jc w:val="both"/>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jc w:val="both"/>
        <w:keepNext w:val="0"/>
        <w:spacing w:after="200"/>
        <w:rPr>
          <w:rFonts w:hint="default" w:ascii="Times New Roman" w:hAnsi="Times New Roman" w:cs="Times New Roman"/>
          <w:color w:val="auto"/>
          <w:highlight w:val="none"/>
        </w:rPr>
      </w:pPr>
      <w:r/>
      <w:bookmarkStart w:id="726" w:name="_Toc49032432"/>
      <w:r/>
      <w:bookmarkEnd w:id="726"/>
      <w:r/>
      <w:bookmarkStart w:id="727" w:name="_Toc24683"/>
      <w:r/>
      <w:bookmarkEnd w:id="727"/>
      <w:r/>
      <w:bookmarkStart w:id="728" w:name="_Toc15325"/>
      <w:r/>
      <w:bookmarkEnd w:id="728"/>
      <w:r/>
      <w:bookmarkStart w:id="729" w:name="_Toc49092046"/>
      <w:r/>
      <w:bookmarkEnd w:id="729"/>
      <w:r/>
      <w:bookmarkStart w:id="730" w:name="_Toc49120549"/>
      <w:r/>
      <w:bookmarkEnd w:id="730"/>
      <w:r/>
      <w:bookmarkStart w:id="731" w:name="_Toc49033524"/>
      <w:r/>
      <w:bookmarkEnd w:id="731"/>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   </w:t>
      </w:r>
      <w:bookmarkStart w:id="732" w:name="_Toc418769788"/>
      <w:r/>
      <w:bookmarkStart w:id="733" w:name="_Toc418767575"/>
      <w:r/>
      <w:bookmarkStart w:id="734" w:name="_Toc3622"/>
      <w:r/>
      <w:bookmarkStart w:id="735" w:name="_Toc26823"/>
      <w:r>
        <w:rPr>
          <w:rFonts w:hint="default" w:ascii="Times New Roman" w:hAnsi="Times New Roman" w:eastAsia="黑体" w:cs="Times New Roman"/>
          <w:color w:val="auto"/>
          <w:szCs w:val="24"/>
          <w:highlight w:val="none"/>
        </w:rPr>
        <w:t xml:space="preserve">(规范性附录)</w:t>
      </w:r>
      <w:bookmarkEnd w:id="732"/>
      <w:r/>
      <w:bookmarkEnd w:id="733"/>
      <w:r/>
      <w:bookmarkEnd w:id="734"/>
      <w:r/>
      <w:bookmarkEnd w:id="735"/>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   </w:t>
      </w:r>
      <w:bookmarkStart w:id="736" w:name="_Toc6192"/>
      <w:r/>
      <w:bookmarkStart w:id="737" w:name="_Toc418767576"/>
      <w:r/>
      <w:bookmarkStart w:id="738" w:name="_Toc4522"/>
      <w:r/>
      <w:bookmarkStart w:id="739" w:name="_Toc418769789"/>
      <w:r>
        <w:rPr>
          <w:rFonts w:hint="default" w:ascii="Times New Roman" w:hAnsi="Times New Roman" w:eastAsia="黑体" w:cs="Times New Roman"/>
          <w:color w:val="auto"/>
          <w:szCs w:val="24"/>
          <w:highlight w:val="none"/>
        </w:rPr>
        <w:t xml:space="preserve">框架各部件名称、结构及主要尺寸</w:t>
      </w:r>
      <w:bookmarkEnd w:id="736"/>
      <w:r/>
      <w:bookmarkEnd w:id="737"/>
      <w:r/>
      <w:bookmarkEnd w:id="738"/>
      <w:r/>
      <w:bookmarkEnd w:id="739"/>
      <w:r/>
      <w:r/>
    </w:p>
    <w:p>
      <w:pPr>
        <w:pStyle w:val="1055"/>
        <w:numPr>
          <w:ilvl w:val="1"/>
          <w:numId w:val="13"/>
        </w:numPr>
        <w:ind w:left="10"/>
        <w:spacing w:before="156" w:after="156"/>
        <w:rPr>
          <w:rFonts w:hint="default" w:ascii="Times New Roman" w:hAnsi="Times New Roman" w:cs="Times New Roman"/>
          <w:color w:val="auto"/>
          <w:highlight w:val="none"/>
        </w:rPr>
      </w:pPr>
      <w:r/>
      <w:bookmarkStart w:id="740" w:name="_Toc339004734"/>
      <w:r/>
      <w:bookmarkStart w:id="741" w:name="_Toc193103964"/>
      <w:r/>
      <w:bookmarkStart w:id="742" w:name="_Toc191462628"/>
      <w:r/>
      <w:bookmarkStart w:id="743" w:name="_Toc222807273"/>
      <w:r/>
      <w:bookmarkStart w:id="744" w:name="_Toc10769"/>
      <w:r/>
      <w:bookmarkStart w:id="745" w:name="_Toc191462712"/>
      <w:r/>
      <w:bookmarkStart w:id="746" w:name="_Toc9038"/>
      <w:r/>
      <w:bookmarkStart w:id="747" w:name="_Toc418769790"/>
      <w:r>
        <w:rPr>
          <w:rFonts w:hint="default" w:ascii="Times New Roman" w:hAnsi="Times New Roman" w:eastAsia="宋体" w:cs="Times New Roman"/>
          <w:color w:val="auto"/>
          <w:highlight w:val="none"/>
        </w:rPr>
        <w:t xml:space="preserve">通用杆结构及主要尺寸见图B.1</w:t>
      </w:r>
      <w:r>
        <w:rPr>
          <w:rFonts w:hint="default" w:ascii="Times New Roman" w:hAnsi="Times New Roman" w:cs="Times New Roman"/>
          <w:color w:val="auto"/>
          <w:highlight w:val="none"/>
        </w:rPr>
        <w:t xml:space="preserve">。</w:t>
      </w:r>
      <w:bookmarkEnd w:id="740"/>
      <w:r/>
      <w:bookmarkEnd w:id="741"/>
      <w:r/>
      <w:bookmarkEnd w:id="742"/>
      <w:r/>
      <w:bookmarkEnd w:id="743"/>
      <w:r/>
      <w:bookmarkEnd w:id="744"/>
      <w:r/>
      <w:bookmarkEnd w:id="745"/>
      <w:r/>
      <w:bookmarkEnd w:id="746"/>
      <w:r/>
      <w:bookmarkEnd w:id="747"/>
      <w:r/>
      <w:r/>
    </w:p>
    <w:p>
      <w:pPr>
        <w:jc w:val="right"/>
        <w:rPr>
          <w:rFonts w:hint="default" w:ascii="Times New Roman" w:hAnsi="Times New Roman" w:eastAsia="仿宋" w:cs="Times New Roman"/>
          <w:color w:val="auto"/>
          <w:szCs w:val="24"/>
          <w:highlight w:val="none"/>
        </w:rPr>
      </w:pPr>
      <w:r/>
      <w:bookmarkStart w:id="748" w:name="_Toc472"/>
      <w:r/>
      <w:bookmarkStart w:id="749" w:name="_Toc7537"/>
      <w:r>
        <w:rPr>
          <w:rFonts w:hint="default" w:ascii="Times New Roman" w:hAnsi="Times New Roman" w:eastAsia="仿宋" w:cs="Times New Roman"/>
          <w:color w:val="auto"/>
          <w:szCs w:val="24"/>
          <w:highlight w:val="none"/>
        </w:rPr>
        <w:t xml:space="preserve">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bookmarkEnd w:id="748"/>
      <w:r/>
      <w:bookmarkEnd w:id="749"/>
      <w:r/>
      <w:r/>
    </w:p>
    <w:p>
      <w:pPr>
        <w:pStyle w:val="1044"/>
        <w:ind w:firstLine="0"/>
        <w:rPr>
          <w:rFonts w:hint="default" w:ascii="Times New Roman" w:hAnsi="Times New Roman" w:eastAsia="黑体" w:cs="Times New Roman"/>
          <w:b/>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5200" distR="115200" simplePos="0" relativeHeight="251724800" behindDoc="0" locked="0" layoutInCell="1" allowOverlap="1">
                <wp:simplePos x="0" y="0"/>
                <wp:positionH relativeFrom="column">
                  <wp:posOffset>0</wp:posOffset>
                </wp:positionH>
                <wp:positionV relativeFrom="paragraph">
                  <wp:posOffset>0</wp:posOffset>
                </wp:positionV>
                <wp:extent cx="5654040" cy="1487170"/>
                <wp:effectExtent l="0" t="0" r="10160" b="11430"/>
                <wp:wrapTopAndBottom/>
                <wp:docPr id="25" name="图片 6" descr="配体 - 副本-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配体 - 副本-Model"/>
                        <pic:cNvPicPr>
                          <a:picLocks noChangeAspect="1"/>
                        </pic:cNvPicPr>
                        <pic:nvPr/>
                      </pic:nvPicPr>
                      <pic:blipFill>
                        <a:blip r:embed="rId41"/>
                        <a:srcRect l="1637" t="32942" r="1534" b="34116"/>
                        <a:stretch/>
                      </pic:blipFill>
                      <pic:spPr bwMode="auto">
                        <a:xfrm>
                          <a:off x="0" y="0"/>
                          <a:ext cx="5654040" cy="1487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724800;o:allowoverlap:true;o:allowincell:true;mso-position-horizontal-relative:text;margin-left:0.0pt;mso-position-horizontal:absolute;mso-position-vertical-relative:text;margin-top:0.0pt;mso-position-vertical:absolute;width:445.2pt;height:117.1pt;mso-wrap-distance-left:9.1pt;mso-wrap-distance-top:0.0pt;mso-wrap-distance-right:9.1pt;mso-wrap-distance-bottom:0.0pt;" stroked="f">
                <v:path textboxrect="0,0,0,0"/>
                <w10:wrap type="topAndBottom"/>
                <v:imagedata r:id="rId41"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图B.1 通用杆结构及主要尺寸</w:t>
      </w:r>
      <w:r/>
    </w:p>
    <w:p>
      <w:pPr>
        <w:pStyle w:val="1055"/>
        <w:numPr>
          <w:ilvl w:val="1"/>
          <w:numId w:val="13"/>
        </w:numPr>
        <w:ind w:left="-16"/>
        <w:spacing w:before="156" w:after="156"/>
        <w:rPr>
          <w:rFonts w:hint="default" w:ascii="Times New Roman" w:hAnsi="Times New Roman" w:eastAsia="宋体" w:cs="Times New Roman"/>
          <w:color w:val="auto"/>
          <w:highlight w:val="none"/>
        </w:rPr>
      </w:pPr>
      <w:r/>
      <w:bookmarkStart w:id="750" w:name="_Toc339004735"/>
      <w:r/>
      <w:bookmarkStart w:id="751" w:name="_Toc193103965"/>
      <w:r/>
      <w:bookmarkStart w:id="752" w:name="_Toc222807274"/>
      <w:r/>
      <w:bookmarkStart w:id="753" w:name="_Toc18682"/>
      <w:r/>
      <w:bookmarkStart w:id="754" w:name="_Toc191462629"/>
      <w:r/>
      <w:bookmarkStart w:id="755" w:name="_Toc22276"/>
      <w:r/>
      <w:bookmarkStart w:id="756" w:name="_Toc418769791"/>
      <w:r/>
      <w:bookmarkStart w:id="757" w:name="_Toc191462713"/>
      <w:r>
        <w:rPr>
          <w:rFonts w:hint="default" w:ascii="Times New Roman" w:hAnsi="Times New Roman" w:eastAsia="宋体" w:cs="Times New Roman"/>
          <w:color w:val="auto"/>
          <w:highlight w:val="none"/>
        </w:rPr>
        <w:t xml:space="preserve">立杆结构及主要尺寸见图B.2。</w:t>
      </w:r>
      <w:bookmarkEnd w:id="750"/>
      <w:r/>
      <w:bookmarkEnd w:id="751"/>
      <w:r/>
      <w:bookmarkEnd w:id="752"/>
      <w:r/>
      <w:bookmarkEnd w:id="753"/>
      <w:r/>
      <w:bookmarkEnd w:id="754"/>
      <w:r/>
      <w:bookmarkEnd w:id="755"/>
      <w:r/>
      <w:bookmarkEnd w:id="756"/>
      <w:r/>
      <w:bookmarkEnd w:id="757"/>
      <w:r/>
      <w:r/>
    </w:p>
    <w:p>
      <w:pPr>
        <w:pStyle w:val="1044"/>
        <w:ind w:firstLine="360"/>
        <w:jc w:val="right"/>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5200" distR="115200" simplePos="0" relativeHeight="251725824" behindDoc="0" locked="0" layoutInCell="1" allowOverlap="1">
                <wp:simplePos x="0" y="0"/>
                <wp:positionH relativeFrom="column">
                  <wp:posOffset>0</wp:posOffset>
                </wp:positionH>
                <wp:positionV relativeFrom="paragraph">
                  <wp:posOffset>0</wp:posOffset>
                </wp:positionV>
                <wp:extent cx="5654040" cy="1195070"/>
                <wp:effectExtent l="0" t="0" r="10160" b="11430"/>
                <wp:wrapTopAndBottom/>
                <wp:docPr id="26" name="图片 7" descr="杆副本-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descr="杆副本-Model"/>
                        <pic:cNvPicPr>
                          <a:picLocks noChangeAspect="1"/>
                        </pic:cNvPicPr>
                        <pic:nvPr/>
                      </pic:nvPicPr>
                      <pic:blipFill>
                        <a:blip r:embed="rId42"/>
                        <a:srcRect l="838" t="36011" r="0" b="37787"/>
                        <a:stretch/>
                      </pic:blipFill>
                      <pic:spPr bwMode="auto">
                        <a:xfrm>
                          <a:off x="0" y="0"/>
                          <a:ext cx="565404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25824;o:allowoverlap:true;o:allowincell:true;mso-position-horizontal-relative:text;margin-left:0.0pt;mso-position-horizontal:absolute;mso-position-vertical-relative:text;margin-top:0.0pt;mso-position-vertical:absolute;width:445.2pt;height:94.1pt;mso-wrap-distance-left:9.1pt;mso-wrap-distance-top:0.0pt;mso-wrap-distance-right:9.1pt;mso-wrap-distance-bottom:0.0pt;" stroked="f">
                <v:path textboxrect="0,0,0,0"/>
                <w10:wrap type="topAndBottom"/>
                <v:imagedata r:id="rId42"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图B.2 立杆结构及主要尺寸</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rPr>
          <w:rFonts w:hint="default" w:ascii="Times New Roman" w:hAnsi="Times New Roman" w:cs="Times New Roman"/>
          <w:color w:val="auto"/>
          <w:highlight w:val="none"/>
        </w:rPr>
      </w:r>
      <w:r/>
    </w:p>
    <w:p>
      <w:pPr>
        <w:pStyle w:val="1055"/>
        <w:numPr>
          <w:ilvl w:val="1"/>
          <w:numId w:val="13"/>
        </w:numPr>
        <w:ind w:left="-16"/>
        <w:spacing w:before="156" w:after="156"/>
        <w:rPr>
          <w:rFonts w:hint="default" w:ascii="Times New Roman" w:hAnsi="Times New Roman" w:eastAsia="宋体" w:cs="Times New Roman"/>
          <w:color w:val="auto"/>
          <w:highlight w:val="none"/>
        </w:rPr>
      </w:pPr>
      <w:r/>
      <w:bookmarkStart w:id="758" w:name="_Toc191462714"/>
      <w:r/>
      <w:bookmarkStart w:id="759" w:name="_Toc339004736"/>
      <w:r/>
      <w:bookmarkStart w:id="760" w:name="_Toc418769792"/>
      <w:r/>
      <w:bookmarkStart w:id="761" w:name="_Toc222807275"/>
      <w:r/>
      <w:bookmarkStart w:id="762" w:name="_Toc191462630"/>
      <w:r/>
      <w:bookmarkStart w:id="763" w:name="_Toc193103966"/>
      <w:r/>
      <w:bookmarkStart w:id="764" w:name="_Toc774"/>
      <w:r/>
      <w:bookmarkStart w:id="765" w:name="_Toc13278"/>
      <w:r>
        <w:rPr>
          <w:rFonts w:hint="default" w:ascii="Times New Roman" w:hAnsi="Times New Roman" w:eastAsia="宋体" w:cs="Times New Roman"/>
          <w:color w:val="auto"/>
          <w:highlight w:val="none"/>
        </w:rPr>
        <w:t xml:space="preserve">山墙地杆结构及主要尺寸见图B.3。</w:t>
      </w:r>
      <w:bookmarkEnd w:id="758"/>
      <w:r/>
      <w:bookmarkEnd w:id="759"/>
      <w:r/>
      <w:bookmarkEnd w:id="760"/>
      <w:r/>
      <w:bookmarkEnd w:id="761"/>
      <w:r/>
      <w:bookmarkEnd w:id="762"/>
      <w:r/>
      <w:bookmarkEnd w:id="763"/>
      <w:r/>
      <w:bookmarkEnd w:id="764"/>
      <w:r/>
      <w:bookmarkEnd w:id="765"/>
      <w:r/>
      <w:r/>
    </w:p>
    <w:p>
      <w:pPr>
        <w:pStyle w:val="1044"/>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Cs w:val="20"/>
          <w:highlight w:val="none"/>
        </w:rPr>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-154305</wp:posOffset>
                </wp:positionH>
                <wp:positionV relativeFrom="paragraph">
                  <wp:posOffset>24458</wp:posOffset>
                </wp:positionV>
                <wp:extent cx="6068060" cy="1931670"/>
                <wp:effectExtent l="0" t="0" r="2540" b="11430"/>
                <wp:wrapTopAndBottom/>
                <wp:docPr id="27" name="组合 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6068059" cy="1931670"/>
                          <a:chOff x="0" y="0"/>
                          <a:chExt cx="9555" cy="3078"/>
                        </a:xfrm>
                      </wpg:grpSpPr>
                      <pic:pic xmlns:pic="http://schemas.openxmlformats.org/drawingml/2006/picture">
                        <pic:nvPicPr>
                          <pic:cNvPr id="1223469982" name="图片 170" descr="杆件-装配体 l"/>
                          <pic:cNvPicPr>
                            <a:picLocks noChangeAspect="1" noChangeArrowheads="1"/>
                          </pic:cNvPicPr>
                          <pic:nvPr/>
                        </pic:nvPicPr>
                        <pic:blipFill>
                          <a:blip r:embed="rId43"/>
                          <a:srcRect l="603" t="29353" r="0" b="30664"/>
                          <a:stretch/>
                        </pic:blipFill>
                        <pic:spPr bwMode="auto">
                          <a:xfrm>
                            <a:off x="0" y="2"/>
                            <a:ext cx="9556" cy="3075"/>
                          </a:xfrm>
                          <a:prstGeom prst="rect">
                            <a:avLst/>
                          </a:prstGeom>
                          <a:noFill/>
                          <a:ln>
                            <a:noFill/>
                          </a:ln>
                          <a:effectLst/>
                        </pic:spPr>
                      </pic:pic>
                      <pic:pic xmlns:pic="http://schemas.openxmlformats.org/drawingml/2006/picture">
                        <pic:nvPicPr>
                          <pic:cNvPr id="328572774" name="图片 4" descr="3-装配体-Model"/>
                          <pic:cNvPicPr>
                            <a:picLocks noChangeAspect="1" noChangeArrowheads="1"/>
                          </pic:cNvPicPr>
                          <pic:nvPr/>
                        </pic:nvPicPr>
                        <pic:blipFill>
                          <a:blip r:embed="rId44"/>
                          <a:srcRect l="11827" t="17320" r="7376" b="22192"/>
                          <a:stretch/>
                        </pic:blipFill>
                        <pic:spPr bwMode="auto">
                          <a:xfrm>
                            <a:off x="6348" y="0"/>
                            <a:ext cx="571" cy="289"/>
                          </a:xfrm>
                          <a:prstGeom prst="rect">
                            <a:avLst/>
                          </a:prstGeom>
                          <a:noFill/>
                          <a:ln>
                            <a:noFill/>
                          </a:ln>
                          <a:effectLst/>
                        </pic:spPr>
                      </pic:pic>
                    </wpg:wgp>
                  </a:graphicData>
                </a:graphic>
              </wp:anchor>
            </w:drawing>
          </mc:Choice>
          <mc:Fallback>
            <w:pict>
              <v:group id="group 26" o:spid="_x0000_s0000" style="position:absolute;z-index:251681792;o:allowoverlap:true;o:allowincell:true;mso-position-horizontal-relative:text;margin-left:-12.1pt;mso-position-horizontal:absolute;mso-position-vertical-relative:text;margin-top:1.9pt;mso-position-vertical:absolute;width:477.8pt;height:152.1pt;mso-wrap-distance-left:9.0pt;mso-wrap-distance-top:0.0pt;mso-wrap-distance-right:9.0pt;mso-wrap-distance-bottom:0.0pt;" coordorigin="0,0" coordsize="95,3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left:0;top:0;width:95;height:30;" stroked="f">
                  <v:path textboxrect="0,0,0,0"/>
                  <w10:wrap type="topAndBottom"/>
                  <v:imagedata r:id="rId43"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left:63;top:0;width:5;height:2;" stroked="f">
                  <v:path textboxrect="0,0,0,0"/>
                  <v:imagedata r:id="rId44" o:title=""/>
                </v:shape>
              </v:group>
            </w:pict>
          </mc:Fallback>
        </mc:AlternateContent>
      </w: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图B.3 山墙地杆结构及主要尺寸</w:t>
      </w:r>
      <w:r/>
    </w:p>
    <w:p>
      <w:pPr>
        <w:pStyle w:val="1055"/>
        <w:numPr>
          <w:ilvl w:val="1"/>
          <w:numId w:val="13"/>
        </w:numPr>
        <w:ind w:left="-16"/>
        <w:spacing w:before="156" w:after="156"/>
        <w:rPr>
          <w:rFonts w:hint="default" w:ascii="Times New Roman" w:hAnsi="Times New Roman" w:eastAsia="宋体" w:cs="Times New Roman"/>
          <w:color w:val="auto"/>
          <w:highlight w:val="none"/>
        </w:rPr>
      </w:pPr>
      <w:r/>
      <w:bookmarkStart w:id="766" w:name="_Toc191462631"/>
      <w:r/>
      <w:bookmarkStart w:id="767" w:name="_Toc17089"/>
      <w:r/>
      <w:bookmarkStart w:id="768" w:name="_Toc418769793"/>
      <w:r/>
      <w:bookmarkStart w:id="769" w:name="_Toc191462715"/>
      <w:r/>
      <w:bookmarkStart w:id="770" w:name="_Toc222807276"/>
      <w:r/>
      <w:bookmarkStart w:id="771" w:name="_Toc28483"/>
      <w:r/>
      <w:bookmarkStart w:id="772" w:name="_Toc339004737"/>
      <w:r/>
      <w:bookmarkStart w:id="773" w:name="_Toc193103967"/>
      <w:r>
        <w:rPr>
          <w:rFonts w:hint="default" w:ascii="Times New Roman" w:hAnsi="Times New Roman" w:eastAsia="宋体" w:cs="Times New Roman"/>
          <w:color w:val="auto"/>
          <w:highlight w:val="none"/>
        </w:rPr>
        <w:t xml:space="preserve">端架三通结构及主要尺寸见图B.4。</w:t>
      </w:r>
      <w:bookmarkEnd w:id="766"/>
      <w:r/>
      <w:bookmarkEnd w:id="767"/>
      <w:r/>
      <w:bookmarkEnd w:id="768"/>
      <w:r/>
      <w:bookmarkEnd w:id="769"/>
      <w:r/>
      <w:bookmarkEnd w:id="770"/>
      <w:r/>
      <w:bookmarkEnd w:id="771"/>
      <w:r/>
      <w:bookmarkEnd w:id="772"/>
      <w:r/>
      <w:bookmarkEnd w:id="773"/>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单位为毫米</w:t>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page">
                  <wp:posOffset>819150</wp:posOffset>
                </wp:positionH>
                <wp:positionV relativeFrom="page">
                  <wp:posOffset>1401445</wp:posOffset>
                </wp:positionV>
                <wp:extent cx="6377305" cy="2394585"/>
                <wp:effectExtent l="0" t="0" r="10795" b="5715"/>
                <wp:wrapTopAndBottom/>
                <wp:docPr id="28" name="图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195"/>
                        <pic:cNvPicPr>
                          <a:picLocks noChangeAspect="1"/>
                        </pic:cNvPicPr>
                        <pic:nvPr/>
                      </pic:nvPicPr>
                      <pic:blipFill>
                        <a:blip r:embed="rId45"/>
                        <a:stretch/>
                      </pic:blipFill>
                      <pic:spPr bwMode="auto">
                        <a:xfrm>
                          <a:off x="0" y="0"/>
                          <a:ext cx="6377305" cy="2394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6912;o:allowoverlap:true;o:allowincell:true;mso-position-horizontal-relative:page;margin-left:64.5pt;mso-position-horizontal:absolute;mso-position-vertical-relative:page;margin-top:110.3pt;mso-position-vertical:absolute;width:502.1pt;height:188.5pt;mso-wrap-distance-left:9.0pt;mso-wrap-distance-top:0.0pt;mso-wrap-distance-right:9.0pt;mso-wrap-distance-bottom:0.0pt;" stroked="f">
                <v:path textboxrect="0,0,0,0"/>
                <w10:wrap type="topAndBottom"/>
                <v:imagedata r:id="rId45" o:title=""/>
              </v:shape>
            </w:pict>
          </mc:Fallback>
        </mc:AlternateContent>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44"/>
        <w:ind w:right="113" w:firstLine="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56"/>
        <w:ind w:left="-4"/>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图B.4 端架三通结构及主要尺寸</w:t>
      </w:r>
      <w:r/>
    </w:p>
    <w:p>
      <w:pPr>
        <w:pStyle w:val="1044"/>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pStyle w:val="1055"/>
        <w:numPr>
          <w:ilvl w:val="1"/>
          <w:numId w:val="13"/>
        </w:numPr>
        <w:ind w:left="-16"/>
        <w:spacing w:before="156" w:after="156"/>
        <w:rPr>
          <w:rFonts w:hint="default" w:ascii="Times New Roman" w:hAnsi="Times New Roman" w:eastAsia="宋体" w:cs="Times New Roman"/>
          <w:color w:val="auto"/>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page">
                  <wp:posOffset>1640930</wp:posOffset>
                </wp:positionH>
                <wp:positionV relativeFrom="page">
                  <wp:posOffset>5706836</wp:posOffset>
                </wp:positionV>
                <wp:extent cx="4008755" cy="4329430"/>
                <wp:effectExtent l="0" t="0" r="4445" b="1270"/>
                <wp:wrapTopAndBottom/>
                <wp:docPr id="29"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412117" name="图片 194"/>
                        <pic:cNvPicPr>
                          <a:picLocks noChangeAspect="1"/>
                        </pic:cNvPicPr>
                        <pic:nvPr/>
                      </pic:nvPicPr>
                      <pic:blipFill>
                        <a:blip r:embed="rId46"/>
                        <a:stretch/>
                      </pic:blipFill>
                      <pic:spPr bwMode="auto">
                        <a:xfrm>
                          <a:off x="0" y="0"/>
                          <a:ext cx="4008754" cy="432942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7936;o:allowoverlap:true;o:allowincell:true;mso-position-horizontal-relative:page;margin-left:129.2pt;mso-position-horizontal:absolute;mso-position-vertical-relative:page;margin-top:449.4pt;mso-position-vertical:absolute;width:315.6pt;height:340.9pt;mso-wrap-distance-left:9.0pt;mso-wrap-distance-top:0.0pt;mso-wrap-distance-right:9.0pt;mso-wrap-distance-bottom:0.0pt;" stroked="f">
                <v:path textboxrect="0,0,0,0"/>
                <w10:wrap type="topAndBottom"/>
                <v:imagedata r:id="rId46" o:title=""/>
              </v:shape>
            </w:pict>
          </mc:Fallback>
        </mc:AlternateContent>
      </w:r>
      <w:bookmarkStart w:id="774" w:name="_Toc339004738"/>
      <w:r/>
      <w:bookmarkStart w:id="775" w:name="_Toc193103968"/>
      <w:r/>
      <w:bookmarkStart w:id="776" w:name="_Toc21010"/>
      <w:r/>
      <w:bookmarkStart w:id="777" w:name="_Toc418769794"/>
      <w:r/>
      <w:bookmarkStart w:id="778" w:name="_Toc3711"/>
      <w:r/>
      <w:bookmarkStart w:id="779" w:name="_Toc191462716"/>
      <w:r/>
      <w:bookmarkStart w:id="780" w:name="_Toc222807277"/>
      <w:r/>
      <w:bookmarkStart w:id="781" w:name="_Toc191462632"/>
      <w:r>
        <w:rPr>
          <w:rFonts w:hint="default" w:ascii="Times New Roman" w:hAnsi="Times New Roman" w:eastAsia="宋体" w:cs="Times New Roman"/>
          <w:color w:val="auto"/>
          <w:highlight w:val="none"/>
        </w:rPr>
        <w:t xml:space="preserve">中架四通结构及尺寸见图B.5。</w:t>
      </w:r>
      <w:bookmarkEnd w:id="774"/>
      <w:r/>
      <w:bookmarkEnd w:id="775"/>
      <w:r/>
      <w:bookmarkEnd w:id="776"/>
      <w:r/>
      <w:bookmarkEnd w:id="777"/>
      <w:r/>
      <w:bookmarkEnd w:id="778"/>
      <w:r/>
      <w:bookmarkEnd w:id="779"/>
      <w:r/>
      <w:bookmarkEnd w:id="780"/>
      <w:r/>
      <w:bookmarkEnd w:id="781"/>
      <w:r/>
      <w:r/>
    </w:p>
    <w:p>
      <w:pPr>
        <w:pStyle w:val="1044"/>
        <w:ind w:firstLine="36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ind w:firstLine="36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44"/>
        <w:ind w:firstLine="36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p>
      <w:pPr>
        <w:jc w:val="center"/>
        <w:rPr>
          <w:rFonts w:hint="default" w:ascii="Times New Roman" w:hAnsi="Times New Roman" w:eastAsia="黑体" w:cs="Times New Roman"/>
          <w:b/>
          <w:color w:val="auto"/>
          <w:szCs w:val="24"/>
          <w:highlight w:val="none"/>
        </w:rPr>
      </w:pPr>
      <w:r>
        <w:rPr>
          <w:rFonts w:hint="default" w:ascii="Times New Roman" w:hAnsi="Times New Roman" w:eastAsia="黑体" w:cs="Times New Roman"/>
          <w:b/>
          <w:color w:val="auto"/>
          <w:szCs w:val="24"/>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ind w:left="-4"/>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图B.5中架四通结构及主要尺寸</w:t>
      </w:r>
      <w:r/>
    </w:p>
    <w:p>
      <w:pPr>
        <w:pStyle w:val="1055"/>
        <w:numPr>
          <w:ilvl w:val="1"/>
          <w:numId w:val="13"/>
        </w:numPr>
        <w:ind w:left="-16"/>
        <w:spacing w:before="156" w:after="156"/>
        <w:rPr>
          <w:rFonts w:hint="default" w:ascii="Times New Roman" w:hAnsi="Times New Roman" w:eastAsia="宋体" w:cs="Times New Roman"/>
          <w:color w:val="auto"/>
          <w:highlight w:val="none"/>
        </w:rPr>
      </w:pPr>
      <w:r/>
      <w:bookmarkStart w:id="782" w:name="_Toc18402"/>
      <w:r/>
      <w:bookmarkStart w:id="783" w:name="_Toc418769795"/>
      <w:r/>
      <w:bookmarkStart w:id="784" w:name="_Toc3866"/>
      <w:r/>
      <w:bookmarkStart w:id="785" w:name="_Toc222807278"/>
      <w:r/>
      <w:bookmarkStart w:id="786" w:name="_Toc191462717"/>
      <w:r/>
      <w:bookmarkStart w:id="787" w:name="_Toc191462633"/>
      <w:r/>
      <w:bookmarkStart w:id="788" w:name="_Toc193103969"/>
      <w:r/>
      <w:bookmarkStart w:id="789" w:name="_Toc339004739"/>
      <w:r>
        <w:rPr>
          <w:rFonts w:hint="default" w:ascii="Times New Roman" w:hAnsi="Times New Roman" w:eastAsia="宋体" w:cs="Times New Roman"/>
          <w:color w:val="auto"/>
          <w:highlight w:val="none"/>
        </w:rPr>
        <w:t xml:space="preserve">地杆四通结构及主要尺寸见图B.6。</w:t>
      </w:r>
      <w:bookmarkEnd w:id="782"/>
      <w:r/>
      <w:bookmarkEnd w:id="783"/>
      <w:r/>
      <w:bookmarkEnd w:id="784"/>
      <w:r/>
      <w:bookmarkEnd w:id="785"/>
      <w:r/>
      <w:bookmarkEnd w:id="786"/>
      <w:r/>
      <w:bookmarkEnd w:id="787"/>
      <w:r/>
      <w:bookmarkEnd w:id="788"/>
      <w:r/>
      <w:bookmarkEnd w:id="789"/>
      <w:r/>
      <w:r/>
    </w:p>
    <w:p>
      <w:pPr>
        <w:ind w:left="-4"/>
        <w:jc w:val="righ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单位</w:t>
      </w:r>
      <w:r>
        <w:rPr>
          <w:rFonts w:hint="eastAsia" w:ascii="Times New Roman" w:hAnsi="Times New Roman" w:eastAsia="仿宋" w:cs="Times New Roman"/>
          <w:color w:val="auto"/>
          <w:sz w:val="18"/>
          <w:szCs w:val="18"/>
          <w:highlight w:val="none"/>
          <w:lang w:eastAsia="zh-CN"/>
        </w:rPr>
        <w:t xml:space="preserve">：</w:t>
      </w:r>
      <w:r>
        <w:rPr>
          <w:rFonts w:hint="default" w:ascii="Times New Roman" w:hAnsi="Times New Roman" w:eastAsia="仿宋" w:cs="Times New Roman"/>
          <w:color w:val="auto"/>
          <w:sz w:val="18"/>
          <w:szCs w:val="18"/>
          <w:highlight w:val="none"/>
        </w:rPr>
        <w:t xml:space="preserve">毫米</w:t>
      </w:r>
      <w:r/>
    </w:p>
    <w:p>
      <w:pPr>
        <w:rPr>
          <w:rFonts w:hint="default" w:ascii="Times New Roman" w:hAnsi="Times New Roman" w:eastAsia="黑体" w:cs="Times New Roman"/>
          <w:b/>
          <w:color w:val="auto"/>
          <w:szCs w:val="24"/>
          <w:highlight w:val="none"/>
        </w:rPr>
      </w:pPr>
      <w:r>
        <w:rPr>
          <w:rFonts w:hint="default" w:ascii="Times New Roman" w:hAnsi="Times New Roman" w:eastAsia="仿宋" w:cs="Times New Roman"/>
          <w:color w:val="auto"/>
          <w:sz w:val="18"/>
          <w:szCs w:val="1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1056005</wp:posOffset>
                </wp:positionH>
                <wp:positionV relativeFrom="paragraph">
                  <wp:posOffset>41275</wp:posOffset>
                </wp:positionV>
                <wp:extent cx="3220085" cy="4555490"/>
                <wp:effectExtent l="0" t="0" r="5715" b="3810"/>
                <wp:wrapTopAndBottom/>
                <wp:docPr id="30"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92"/>
                        <pic:cNvPicPr>
                          <a:picLocks noChangeAspect="1"/>
                        </pic:cNvPicPr>
                        <pic:nvPr/>
                      </pic:nvPicPr>
                      <pic:blipFill>
                        <a:blip r:embed="rId47"/>
                        <a:stretch/>
                      </pic:blipFill>
                      <pic:spPr bwMode="auto">
                        <a:xfrm>
                          <a:off x="0" y="0"/>
                          <a:ext cx="3220085" cy="455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8960;o:allowoverlap:true;o:allowincell:true;mso-position-horizontal-relative:text;margin-left:83.1pt;mso-position-horizontal:absolute;mso-position-vertical-relative:text;margin-top:3.2pt;mso-position-vertical:absolute;width:253.5pt;height:358.7pt;mso-wrap-distance-left:9.0pt;mso-wrap-distance-top:0.0pt;mso-wrap-distance-right:9.0pt;mso-wrap-distance-bottom:0.0pt;" stroked="f">
                <v:path textboxrect="0,0,0,0"/>
                <w10:wrap type="topAndBottom"/>
                <v:imagedata r:id="rId47" o:title=""/>
              </v:shape>
            </w:pict>
          </mc:Fallback>
        </mc:AlternateContent>
      </w:r>
      <w:r/>
    </w:p>
    <w:p>
      <w:pPr>
        <w:rPr>
          <w:rFonts w:hint="default" w:ascii="Times New Roman" w:hAnsi="Times New Roman" w:eastAsia="黑体" w:cs="Times New Roman"/>
          <w:b/>
          <w:color w:val="auto"/>
          <w:szCs w:val="24"/>
          <w:highlight w:val="none"/>
        </w:rPr>
      </w:pPr>
      <w:r>
        <w:rPr>
          <w:rFonts w:hint="default" w:ascii="Times New Roman" w:hAnsi="Times New Roman" w:eastAsia="黑体" w:cs="Times New Roman"/>
          <w:b/>
          <w:color w:val="auto"/>
          <w:szCs w:val="24"/>
          <w:highlight w:val="none"/>
        </w:rPr>
      </w:r>
      <w:r/>
    </w:p>
    <w:p>
      <w:pPr>
        <w:ind w:left="-4"/>
        <w:rPr>
          <w:rFonts w:hint="default" w:ascii="Times New Roman" w:hAnsi="Times New Roman" w:eastAsia="黑体" w:cs="Times New Roman"/>
          <w:b/>
          <w:color w:val="auto"/>
          <w:szCs w:val="24"/>
          <w:highlight w:val="none"/>
        </w:rPr>
      </w:pPr>
      <w:r>
        <w:rPr>
          <w:rFonts w:hint="default" w:ascii="Times New Roman" w:hAnsi="Times New Roman" w:eastAsia="黑体" w:cs="Times New Roman"/>
          <w:b/>
          <w:color w:val="auto"/>
          <w:szCs w:val="24"/>
          <w:highlight w:val="none"/>
        </w:rPr>
      </w:r>
      <w:r/>
    </w:p>
    <w:p>
      <w:pPr>
        <w:rPr>
          <w:rFonts w:hint="default" w:ascii="Times New Roman" w:hAnsi="Times New Roman" w:eastAsia="黑体" w:cs="Times New Roman"/>
          <w:b/>
          <w:color w:val="auto"/>
          <w:szCs w:val="24"/>
          <w:highlight w:val="none"/>
        </w:rPr>
      </w:pPr>
      <w:r>
        <w:rPr>
          <w:rFonts w:hint="default" w:ascii="Times New Roman" w:hAnsi="Times New Roman" w:eastAsia="黑体" w:cs="Times New Roman"/>
          <w:b/>
          <w:color w:val="auto"/>
          <w:szCs w:val="24"/>
          <w:highlight w:val="none"/>
        </w:rPr>
      </w:r>
      <w:r/>
    </w:p>
    <w:p>
      <w:pPr>
        <w:ind w:left="-4"/>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图B.6 </w:t>
      </w:r>
      <w:r>
        <w:rPr>
          <w:rFonts w:hint="default" w:ascii="Times New Roman" w:hAnsi="Times New Roman" w:eastAsia="黑体" w:cs="Times New Roman"/>
          <w:color w:val="auto"/>
          <w:szCs w:val="24"/>
          <w:highlight w:val="none"/>
        </w:rPr>
        <w:t xml:space="preserve"> </w:t>
      </w:r>
      <w:r>
        <w:rPr>
          <w:rFonts w:hint="default" w:ascii="Times New Roman" w:hAnsi="Times New Roman" w:eastAsia="黑体" w:cs="Times New Roman"/>
          <w:color w:val="auto"/>
          <w:szCs w:val="24"/>
          <w:highlight w:val="none"/>
        </w:rPr>
        <w:t xml:space="preserve">地杆四通结构及主要尺寸</w:t>
      </w:r>
      <w:r/>
    </w:p>
    <w:p>
      <w:pPr>
        <w:pStyle w:val="1055"/>
        <w:numPr>
          <w:ilvl w:val="1"/>
          <w:numId w:val="13"/>
        </w:numPr>
        <w:ind w:left="-16"/>
        <w:spacing w:before="156" w:after="156"/>
        <w:rPr>
          <w:rFonts w:hint="default" w:ascii="Times New Roman" w:hAnsi="Times New Roman" w:eastAsia="宋体" w:cs="Times New Roman"/>
          <w:color w:val="auto"/>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2034541</wp:posOffset>
                </wp:positionH>
                <wp:positionV relativeFrom="paragraph">
                  <wp:posOffset>1149973</wp:posOffset>
                </wp:positionV>
                <wp:extent cx="2103120" cy="2586355"/>
                <wp:effectExtent l="0" t="0" r="5080" b="4445"/>
                <wp:wrapTopAndBottom/>
                <wp:docPr id="31" name="图片 191" descr="12m 棉 弹簧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477290" name="图片 191" descr="12m 棉 弹簧卡"/>
                        <pic:cNvPicPr>
                          <a:picLocks noChangeAspect="1"/>
                        </pic:cNvPicPr>
                        <pic:nvPr/>
                      </pic:nvPicPr>
                      <pic:blipFill>
                        <a:blip r:embed="rId48"/>
                        <a:stretch/>
                      </pic:blipFill>
                      <pic:spPr bwMode="auto">
                        <a:xfrm>
                          <a:off x="0" y="0"/>
                          <a:ext cx="2103120" cy="25863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70528;o:allowoverlap:true;o:allowincell:true;mso-position-horizontal-relative:text;margin-left:160.2pt;mso-position-horizontal:absolute;mso-position-vertical-relative:text;margin-top:90.5pt;mso-position-vertical:absolute;width:165.6pt;height:203.6pt;mso-wrap-distance-left:9.0pt;mso-wrap-distance-top:0.0pt;mso-wrap-distance-right:9.0pt;mso-wrap-distance-bottom:0.0pt;" stroked="f">
                <v:path textboxrect="0,0,0,0"/>
                <w10:wrap type="topAndBottom"/>
                <v:imagedata r:id="rId48" o:title=""/>
              </v:shape>
            </w:pict>
          </mc:Fallback>
        </mc:AlternateContent>
      </w:r>
      <w:bookmarkStart w:id="790" w:name="_Toc31317"/>
      <w:r/>
      <w:bookmarkStart w:id="791" w:name="_Toc418769797"/>
      <w:r/>
      <w:bookmarkStart w:id="792" w:name="_Toc222807281"/>
      <w:r/>
      <w:bookmarkStart w:id="793" w:name="_Toc19855"/>
      <w:r/>
      <w:bookmarkStart w:id="794" w:name="_Toc339004742"/>
      <w:r/>
      <w:bookmarkStart w:id="795" w:name="_Toc191462720"/>
      <w:r/>
      <w:bookmarkStart w:id="796" w:name="_Toc191462636"/>
      <w:r/>
      <w:bookmarkStart w:id="797" w:name="_Toc193103972"/>
      <w:r>
        <w:rPr>
          <w:rFonts w:hint="default" w:ascii="Times New Roman" w:hAnsi="Times New Roman" w:eastAsia="宋体" w:cs="Times New Roman"/>
          <w:color w:val="auto"/>
          <w:highlight w:val="none"/>
        </w:rPr>
        <w:t xml:space="preserve">弹簧卡结构及主要尺寸见图B.7。</w:t>
      </w:r>
      <w:bookmarkEnd w:id="790"/>
      <w:r/>
      <w:bookmarkEnd w:id="791"/>
      <w:r/>
      <w:bookmarkEnd w:id="792"/>
      <w:r/>
      <w:bookmarkEnd w:id="793"/>
      <w:r/>
      <w:bookmarkEnd w:id="794"/>
      <w:r/>
      <w:bookmarkEnd w:id="795"/>
      <w:r/>
      <w:bookmarkEnd w:id="796"/>
      <w:r/>
      <w:bookmarkEnd w:id="797"/>
      <w:r/>
      <w:r/>
    </w:p>
    <w:p>
      <w:pPr>
        <w:pStyle w:val="1044"/>
        <w:ind w:firstLine="360"/>
        <w:jc w:val="righ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ind w:left="-4"/>
        <w:spacing w:before="156" w:after="156"/>
        <w:rPr>
          <w:rFonts w:hint="default"/>
          <w:color w:val="auto"/>
          <w:highlight w:val="none"/>
        </w:rPr>
      </w:pPr>
      <w:r>
        <w:rPr>
          <w:rFonts w:hint="default" w:ascii="Times New Roman" w:hAnsi="Times New Roman" w:cs="Times New Roman"/>
          <w:color w:val="auto"/>
          <w:highlight w:val="none"/>
        </w:rPr>
        <w:t xml:space="preserve">B.7  弹簧卡结构及主要尺寸</w:t>
      </w:r>
      <w:r/>
    </w:p>
    <w:p>
      <w:pPr>
        <w:shd w:val="nil" w:color="auto"/>
        <w:rPr>
          <w:rFonts w:hint="default" w:ascii="Times New Roman" w:hAnsi="Times New Roman" w:eastAsia="宋体" w:cs="Times New Roman"/>
          <w:color w:val="auto"/>
          <w:highlight w:val="none"/>
        </w:rPr>
      </w:pPr>
      <w:r>
        <w:rPr>
          <w:highlight w:val="none"/>
        </w:rPr>
        <w:br w:type="page" w:clear="all"/>
      </w:r>
      <w:r>
        <w:rPr>
          <w:highlight w:val="none"/>
        </w:rPr>
      </w:r>
      <w:r/>
    </w:p>
    <w:p>
      <w:pPr>
        <w:pStyle w:val="1055"/>
        <w:numPr>
          <w:ilvl w:val="1"/>
          <w:numId w:val="13"/>
        </w:numPr>
        <w:ind w:left="-16"/>
        <w:spacing w:before="156" w:after="156"/>
        <w:rPr>
          <w:rFonts w:hint="default" w:ascii="Times New Roman" w:hAnsi="Times New Roman" w:eastAsia="宋体" w:cs="Times New Roman"/>
          <w:color w:val="auto"/>
          <w:highlight w:val="none"/>
        </w:rPr>
      </w:pPr>
      <w:r/>
      <w:bookmarkStart w:id="798" w:name="_Toc222807280"/>
      <w:r/>
      <w:bookmarkStart w:id="799" w:name="_Toc418769798"/>
      <w:r/>
      <w:bookmarkStart w:id="800" w:name="_Toc191462635"/>
      <w:r/>
      <w:bookmarkStart w:id="801" w:name="_Toc193103971"/>
      <w:r/>
      <w:bookmarkStart w:id="802" w:name="_Toc191462719"/>
      <w:r/>
      <w:bookmarkStart w:id="803" w:name="_Toc20474"/>
      <w:r/>
      <w:bookmarkStart w:id="804" w:name="_Toc6561"/>
      <w:r/>
      <w:bookmarkStart w:id="805" w:name="_Toc339004741"/>
      <w:r>
        <w:rPr>
          <w:rFonts w:hint="default" w:ascii="Times New Roman" w:hAnsi="Times New Roman" w:eastAsia="宋体" w:cs="Times New Roman"/>
          <w:color w:val="auto"/>
          <w:highlight w:val="none"/>
        </w:rPr>
        <w:t xml:space="preserve">钢丝拉绳结构及主要尺寸见图B.8。</w:t>
      </w:r>
      <w:bookmarkEnd w:id="798"/>
      <w:r/>
      <w:bookmarkEnd w:id="799"/>
      <w:r/>
      <w:bookmarkEnd w:id="800"/>
      <w:r/>
      <w:bookmarkEnd w:id="801"/>
      <w:r/>
      <w:bookmarkEnd w:id="802"/>
      <w:r/>
      <w:bookmarkEnd w:id="803"/>
      <w:r/>
      <w:bookmarkEnd w:id="804"/>
      <w:r/>
      <w:bookmarkEnd w:id="805"/>
      <w:r/>
      <w:r/>
    </w:p>
    <w:p>
      <w:pPr>
        <w:pStyle w:val="1044"/>
        <w:ind w:firstLine="360"/>
        <w:jc w:val="right"/>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ind w:firstLine="480"/>
        <w:rPr>
          <w:rFonts w:hint="default" w:ascii="Times New Roman" w:hAnsi="Times New Roman" w:cs="Times New Roman"/>
          <w:color w:val="auto"/>
          <w:highlight w:val="none"/>
        </w:rPr>
      </w:pPr>
      <w:r>
        <w:rPr>
          <w:rFonts w:hint="default" w:ascii="Times New Roman" w:hAnsi="Times New Roman" w:cs="Times New Roman"/>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-175894</wp:posOffset>
                </wp:positionH>
                <wp:positionV relativeFrom="paragraph">
                  <wp:posOffset>132715</wp:posOffset>
                </wp:positionV>
                <wp:extent cx="6244590" cy="7605395"/>
                <wp:effectExtent l="0" t="0" r="0" b="0"/>
                <wp:wrapTopAndBottom/>
                <wp:docPr id="32" name=""/>
                <wp:cNvGraphicFramePr/>
                <a:graphic xmlns:a="http://schemas.openxmlformats.org/drawingml/2006/main">
                  <a:graphicData uri="http://schemas.microsoft.com/office/word/2010/wordprocessingGroup">
                    <wpg:wgp>
                      <wpg:cNvGrpSpPr/>
                      <wpg:grpSpPr bwMode="auto">
                        <a:xfrm>
                          <a:off x="0" y="0"/>
                          <a:ext cx="6244590" cy="7605395"/>
                          <a:chOff x="0" y="0"/>
                          <a:chExt cx="9834" cy="11977"/>
                        </a:xfrm>
                      </wpg:grpSpPr>
                      <wpg:grpSp>
                        <wpg:cNvGrpSpPr/>
                        <wpg:grpSpPr bwMode="auto">
                          <a:xfrm>
                            <a:off x="864" y="3255"/>
                            <a:ext cx="8189" cy="2495"/>
                            <a:chOff x="0" y="0"/>
                            <a:chExt cx="7020" cy="2221"/>
                          </a:xfrm>
                        </wpg:grpSpPr>
                        <pic:pic xmlns:pic="http://schemas.openxmlformats.org/drawingml/2006/picture">
                          <pic:nvPicPr>
                            <pic:cNvPr id="2" name=""/>
                            <pic:cNvPicPr/>
                            <pic:nvPr/>
                          </pic:nvPicPr>
                          <pic:blipFill>
                            <a:blip r:embed="rId49"/>
                            <a:srcRect l="2541" t="25089" r="3525" b="37561"/>
                            <a:stretch/>
                          </pic:blipFill>
                          <pic:spPr bwMode="auto">
                            <a:xfrm>
                              <a:off x="0" y="0"/>
                              <a:ext cx="7020" cy="2221"/>
                            </a:xfrm>
                            <a:prstGeom prst="rect">
                              <a:avLst/>
                            </a:prstGeom>
                            <a:noFill/>
                            <a:ln>
                              <a:noFill/>
                            </a:ln>
                          </pic:spPr>
                        </pic:pic>
                        <wps:wsp>
                          <wps:cNvPr id="3" name=""/>
                          <wps:cNvSpPr/>
                          <wps:spPr bwMode="auto">
                            <a:xfrm>
                              <a:off x="3060" y="1716"/>
                              <a:ext cx="1080" cy="156"/>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横向连接钢丝</w:t>
                                </w:r>
                                <w:r/>
                              </w:p>
                            </w:txbxContent>
                          </wps:txbx>
                          <wps:bodyPr wrap="square" lIns="0" tIns="0" rIns="0" bIns="0" fromWordArt="1">
                            <a:prstTxWarp prst="textPlain">
                              <a:avLst>
                                <a:gd name="adj" fmla="val 50000"/>
                              </a:avLst>
                            </a:prstTxWarp>
                            <a:normAutofit/>
                          </wps:bodyPr>
                        </wps:wsp>
                      </wpg:grpSp>
                      <wpg:grpSp>
                        <wpg:cNvGrpSpPr/>
                        <wpg:grpSpPr bwMode="auto">
                          <a:xfrm>
                            <a:off x="0" y="0"/>
                            <a:ext cx="9835" cy="3845"/>
                            <a:chOff x="0" y="0"/>
                            <a:chExt cx="9550" cy="3721"/>
                          </a:xfrm>
                        </wpg:grpSpPr>
                        <wpg:grpSp>
                          <wpg:cNvGrpSpPr/>
                          <wpg:grpSpPr bwMode="auto">
                            <a:xfrm>
                              <a:off x="0" y="0"/>
                              <a:ext cx="9550" cy="3721"/>
                              <a:chOff x="0" y="0"/>
                              <a:chExt cx="9550" cy="3721"/>
                            </a:xfrm>
                          </wpg:grpSpPr>
                          <wpg:grpSp>
                            <wpg:cNvGrpSpPr/>
                            <wpg:grpSpPr bwMode="auto">
                              <a:xfrm>
                                <a:off x="0" y="0"/>
                                <a:ext cx="9550" cy="3240"/>
                                <a:chOff x="0" y="0"/>
                                <a:chExt cx="9550" cy="3240"/>
                              </a:xfrm>
                            </wpg:grpSpPr>
                            <pic:pic xmlns:pic="http://schemas.openxmlformats.org/drawingml/2006/picture">
                              <pic:nvPicPr>
                                <pic:cNvPr id="8" name=""/>
                                <pic:cNvPicPr/>
                                <pic:nvPr/>
                              </pic:nvPicPr>
                              <pic:blipFill>
                                <a:blip r:embed="rId50"/>
                                <a:srcRect l="1445" t="28331" r="555" b="29825"/>
                                <a:stretch/>
                              </pic:blipFill>
                              <pic:spPr bwMode="auto">
                                <a:xfrm>
                                  <a:off x="0" y="0"/>
                                  <a:ext cx="9550" cy="3240"/>
                                </a:xfrm>
                                <a:prstGeom prst="rect">
                                  <a:avLst/>
                                </a:prstGeom>
                                <a:noFill/>
                                <a:ln>
                                  <a:noFill/>
                                </a:ln>
                              </pic:spPr>
                            </pic:pic>
                            <wpg:grpSp>
                              <wpg:cNvGrpSpPr/>
                              <wpg:grpSpPr bwMode="auto">
                                <a:xfrm>
                                  <a:off x="0" y="191"/>
                                  <a:ext cx="2700" cy="1574"/>
                                  <a:chOff x="0" y="0"/>
                                  <a:chExt cx="2700" cy="1574"/>
                                </a:xfrm>
                              </wpg:grpSpPr>
                              <pic:pic xmlns:pic="http://schemas.openxmlformats.org/drawingml/2006/picture">
                                <pic:nvPicPr>
                                  <pic:cNvPr id="10" name=""/>
                                  <pic:cNvPicPr/>
                                  <pic:nvPr/>
                                </pic:nvPicPr>
                                <pic:blipFill>
                                  <a:blip r:embed="rId51"/>
                                  <a:srcRect l="37357" t="33760" r="40974" b="44641"/>
                                  <a:stretch/>
                                </pic:blipFill>
                                <pic:spPr bwMode="auto">
                                  <a:xfrm>
                                    <a:off x="0" y="0"/>
                                    <a:ext cx="1980" cy="1574"/>
                                  </a:xfrm>
                                  <a:prstGeom prst="rect">
                                    <a:avLst/>
                                  </a:prstGeom>
                                  <a:noFill/>
                                  <a:ln>
                                    <a:noFill/>
                                  </a:ln>
                                </pic:spPr>
                              </pic:pic>
                              <wps:wsp>
                                <wps:cNvPr id="11" name=""/>
                                <wps:cNvSpPr/>
                                <wps:spPr bwMode="auto">
                                  <a:xfrm flipV="1">
                                    <a:off x="970" y="326"/>
                                    <a:ext cx="1010" cy="672"/>
                                  </a:xfrm>
                                  <a:prstGeom prst="line">
                                    <a:avLst/>
                                  </a:prstGeom>
                                  <a:solidFill>
                                    <a:srgbClr val="FFFFFF"/>
                                  </a:solidFill>
                                  <a:ln>
                                    <a:solidFill>
                                      <a:srgbClr val="000000"/>
                                    </a:solidFill>
                                  </a:ln>
                                </wps:spPr>
                                <wps:bodyPr rot="0">
                                  <a:prstTxWarp prst="textNoShape">
                                    <a:avLst/>
                                  </a:prstTxWarp>
                                  <a:noAutofit/>
                                </wps:bodyPr>
                              </wps:wsp>
                              <wps:wsp>
                                <wps:cNvPr id="12" name=""/>
                                <wps:cNvSpPr/>
                                <wps:spPr bwMode="auto">
                                  <a:xfrm>
                                    <a:off x="1980" y="326"/>
                                    <a:ext cx="720" cy="0"/>
                                  </a:xfrm>
                                  <a:prstGeom prst="line">
                                    <a:avLst/>
                                  </a:prstGeom>
                                  <a:solidFill>
                                    <a:srgbClr val="FFFFFF"/>
                                  </a:solidFill>
                                  <a:ln>
                                    <a:solidFill>
                                      <a:srgbClr val="000000"/>
                                    </a:solidFill>
                                  </a:ln>
                                </wps:spPr>
                                <wps:bodyPr rot="0">
                                  <a:prstTxWarp prst="textNoShape">
                                    <a:avLst/>
                                  </a:prstTxWarp>
                                  <a:noAutofit/>
                                </wps:bodyPr>
                              </wps:wsp>
                              <wps:wsp>
                                <wps:cNvPr id="13" name=""/>
                                <wps:cNvSpPr/>
                                <wps:spPr bwMode="auto">
                                  <a:xfrm>
                                    <a:off x="2060" y="77"/>
                                    <a:ext cx="540" cy="197"/>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弹簧钩</w:t>
                                      </w:r>
                                      <w:r/>
                                    </w:p>
                                  </w:txbxContent>
                                </wps:txbx>
                                <wps:bodyPr wrap="square" lIns="0" tIns="0" rIns="0" bIns="0" fromWordArt="1">
                                  <a:prstTxWarp prst="textPlain">
                                    <a:avLst>
                                      <a:gd name="adj" fmla="val 50000"/>
                                    </a:avLst>
                                  </a:prstTxWarp>
                                  <a:normAutofit/>
                                </wps:bodyPr>
                              </wps:wsp>
                            </wpg:grpSp>
                          </wpg:grpSp>
                          <wpg:grpSp>
                            <wpg:cNvGrpSpPr/>
                            <wpg:grpSpPr bwMode="auto">
                              <a:xfrm>
                                <a:off x="3120" y="1765"/>
                                <a:ext cx="3410" cy="1956"/>
                                <a:chOff x="0" y="0"/>
                                <a:chExt cx="3410" cy="1956"/>
                              </a:xfrm>
                            </wpg:grpSpPr>
                            <pic:pic xmlns:pic="http://schemas.openxmlformats.org/drawingml/2006/picture">
                              <pic:nvPicPr>
                                <pic:cNvPr id="22" name=""/>
                                <pic:cNvPicPr/>
                                <pic:nvPr/>
                              </pic:nvPicPr>
                              <pic:blipFill>
                                <a:blip r:embed="rId52"/>
                                <a:srcRect l="37049" t="34818" r="32075" b="30107"/>
                                <a:stretch/>
                              </pic:blipFill>
                              <pic:spPr bwMode="auto">
                                <a:xfrm>
                                  <a:off x="660" y="0"/>
                                  <a:ext cx="2160" cy="1956"/>
                                </a:xfrm>
                                <a:prstGeom prst="rect">
                                  <a:avLst/>
                                </a:prstGeom>
                                <a:noFill/>
                                <a:ln>
                                  <a:noFill/>
                                </a:ln>
                              </pic:spPr>
                            </pic:pic>
                            <wps:wsp>
                              <wps:cNvPr id="23" name=""/>
                              <wps:cNvSpPr/>
                              <wps:spPr bwMode="auto">
                                <a:xfrm flipH="1" flipV="1">
                                  <a:off x="1020" y="312"/>
                                  <a:ext cx="540" cy="312"/>
                                </a:xfrm>
                                <a:prstGeom prst="line">
                                  <a:avLst/>
                                </a:prstGeom>
                                <a:solidFill>
                                  <a:srgbClr val="FFFFFF"/>
                                </a:solidFill>
                                <a:ln>
                                  <a:solidFill>
                                    <a:srgbClr val="000000"/>
                                  </a:solidFill>
                                </a:ln>
                              </wps:spPr>
                              <wps:bodyPr rot="0">
                                <a:prstTxWarp prst="textNoShape">
                                  <a:avLst/>
                                </a:prstTxWarp>
                                <a:noAutofit/>
                              </wps:bodyPr>
                            </wps:wsp>
                            <wps:wsp>
                              <wps:cNvPr id="24" name=""/>
                              <wps:cNvSpPr/>
                              <wps:spPr bwMode="auto">
                                <a:xfrm flipH="1">
                                  <a:off x="300" y="312"/>
                                  <a:ext cx="720" cy="0"/>
                                </a:xfrm>
                                <a:prstGeom prst="line">
                                  <a:avLst/>
                                </a:prstGeom>
                                <a:solidFill>
                                  <a:srgbClr val="FFFFFF"/>
                                </a:solidFill>
                                <a:ln>
                                  <a:solidFill>
                                    <a:srgbClr val="000000"/>
                                  </a:solidFill>
                                </a:ln>
                              </wps:spPr>
                              <wps:bodyPr rot="0">
                                <a:prstTxWarp prst="textNoShape">
                                  <a:avLst/>
                                </a:prstTxWarp>
                                <a:noAutofit/>
                              </wps:bodyPr>
                            </wps:wsp>
                            <wps:wsp>
                              <wps:cNvPr id="25" name=""/>
                              <wps:cNvSpPr/>
                              <wps:spPr bwMode="auto">
                                <a:xfrm>
                                  <a:off x="400" y="93"/>
                                  <a:ext cx="640" cy="155"/>
                                </a:xfrm>
                                <a:prstGeom prst="rect">
                                  <a:avLst/>
                                </a:prstGeom>
                                <a:noFill/>
                                <a:ln>
                                  <a:noFill/>
                                </a:ln>
                              </wps:spPr>
                              <wps:txbx>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铜箍侧面</w:t>
                                    </w:r>
                                    <w:r/>
                                  </w:p>
                                </w:txbxContent>
                              </wps:txbx>
                              <wps:bodyPr wrap="square" lIns="0" tIns="0" rIns="0" bIns="0" fromWordArt="1">
                                <a:prstTxWarp prst="textPlain">
                                  <a:avLst>
                                    <a:gd name="adj" fmla="val 50000"/>
                                  </a:avLst>
                                </a:prstTxWarp>
                                <a:normAutofit/>
                              </wps:bodyPr>
                            </wps:wsp>
                            <wps:wsp>
                              <wps:cNvPr id="26" name=""/>
                              <wps:cNvSpPr/>
                              <wps:spPr bwMode="auto">
                                <a:xfrm flipH="1" flipV="1">
                                  <a:off x="720" y="804"/>
                                  <a:ext cx="920" cy="276"/>
                                </a:xfrm>
                                <a:prstGeom prst="line">
                                  <a:avLst/>
                                </a:prstGeom>
                                <a:solidFill>
                                  <a:srgbClr val="FFFFFF"/>
                                </a:solidFill>
                                <a:ln>
                                  <a:solidFill>
                                    <a:srgbClr val="000000"/>
                                  </a:solidFill>
                                </a:ln>
                              </wps:spPr>
                              <wps:bodyPr rot="0">
                                <a:prstTxWarp prst="textNoShape">
                                  <a:avLst/>
                                </a:prstTxWarp>
                                <a:noAutofit/>
                              </wps:bodyPr>
                            </wps:wsp>
                            <wps:wsp>
                              <wps:cNvPr id="27" name=""/>
                              <wps:cNvSpPr/>
                              <wps:spPr bwMode="auto">
                                <a:xfrm flipH="1">
                                  <a:off x="0" y="793"/>
                                  <a:ext cx="720" cy="0"/>
                                </a:xfrm>
                                <a:prstGeom prst="line">
                                  <a:avLst/>
                                </a:prstGeom>
                                <a:solidFill>
                                  <a:srgbClr val="FFFFFF"/>
                                </a:solidFill>
                                <a:ln>
                                  <a:solidFill>
                                    <a:srgbClr val="000000"/>
                                  </a:solidFill>
                                </a:ln>
                              </wps:spPr>
                              <wps:bodyPr rot="0">
                                <a:prstTxWarp prst="textNoShape">
                                  <a:avLst/>
                                </a:prstTxWarp>
                                <a:noAutofit/>
                              </wps:bodyPr>
                            </wps:wsp>
                            <wps:wsp>
                              <wps:cNvPr id="28" name=""/>
                              <wps:cNvSpPr/>
                              <wps:spPr bwMode="auto">
                                <a:xfrm>
                                  <a:off x="0" y="574"/>
                                  <a:ext cx="710" cy="175"/>
                                </a:xfrm>
                                <a:prstGeom prst="rect">
                                  <a:avLst/>
                                </a:prstGeom>
                                <a:noFill/>
                                <a:ln>
                                  <a:noFill/>
                                </a:ln>
                              </wps:spPr>
                              <wps:txbx>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竖向钢丝绳</w:t>
                                    </w:r>
                                    <w:r/>
                                  </w:p>
                                </w:txbxContent>
                              </wps:txbx>
                              <wps:bodyPr wrap="square" lIns="0" tIns="0" rIns="0" bIns="0" fromWordArt="1">
                                <a:prstTxWarp prst="textPlain">
                                  <a:avLst>
                                    <a:gd name="adj" fmla="val 50000"/>
                                  </a:avLst>
                                </a:prstTxWarp>
                                <a:normAutofit/>
                              </wps:bodyPr>
                            </wps:wsp>
                            <wps:wsp>
                              <wps:cNvPr id="29" name=""/>
                              <wps:cNvSpPr/>
                              <wps:spPr bwMode="auto">
                                <a:xfrm flipV="1">
                                  <a:off x="2080" y="804"/>
                                  <a:ext cx="600" cy="432"/>
                                </a:xfrm>
                                <a:prstGeom prst="line">
                                  <a:avLst/>
                                </a:prstGeom>
                                <a:solidFill>
                                  <a:srgbClr val="FFFFFF"/>
                                </a:solidFill>
                                <a:ln>
                                  <a:solidFill>
                                    <a:srgbClr val="000000"/>
                                  </a:solidFill>
                                </a:ln>
                              </wps:spPr>
                              <wps:bodyPr rot="0">
                                <a:prstTxWarp prst="textNoShape">
                                  <a:avLst/>
                                </a:prstTxWarp>
                                <a:noAutofit/>
                              </wps:bodyPr>
                            </wps:wsp>
                            <wps:wsp>
                              <wps:cNvPr id="30" name=""/>
                              <wps:cNvSpPr/>
                              <wps:spPr bwMode="auto">
                                <a:xfrm flipH="1">
                                  <a:off x="2690" y="804"/>
                                  <a:ext cx="720" cy="0"/>
                                </a:xfrm>
                                <a:prstGeom prst="line">
                                  <a:avLst/>
                                </a:prstGeom>
                                <a:solidFill>
                                  <a:srgbClr val="FFFFFF"/>
                                </a:solidFill>
                                <a:ln>
                                  <a:solidFill>
                                    <a:srgbClr val="000000"/>
                                  </a:solidFill>
                                </a:ln>
                              </wps:spPr>
                              <wps:bodyPr rot="0">
                                <a:prstTxWarp prst="textNoShape">
                                  <a:avLst/>
                                </a:prstTxWarp>
                                <a:noAutofit/>
                              </wps:bodyPr>
                            </wps:wsp>
                            <wps:wsp>
                              <wps:cNvPr id="31" name=""/>
                              <wps:cNvSpPr/>
                              <wps:spPr bwMode="auto">
                                <a:xfrm>
                                  <a:off x="2679" y="568"/>
                                  <a:ext cx="710" cy="175"/>
                                </a:xfrm>
                                <a:prstGeom prst="rect">
                                  <a:avLst/>
                                </a:prstGeom>
                                <a:noFill/>
                                <a:ln>
                                  <a:noFill/>
                                </a:ln>
                              </wps:spPr>
                              <wps:txbx>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横向钢丝绳</w:t>
                                    </w:r>
                                    <w:r/>
                                  </w:p>
                                </w:txbxContent>
                              </wps:txbx>
                              <wps:bodyPr wrap="square" lIns="0" tIns="0" rIns="0" bIns="0" fromWordArt="1">
                                <a:prstTxWarp prst="textPlain">
                                  <a:avLst>
                                    <a:gd name="adj" fmla="val 50000"/>
                                  </a:avLst>
                                </a:prstTxWarp>
                                <a:normAutofit/>
                              </wps:bodyPr>
                            </wps:wsp>
                          </wpg:grpSp>
                        </wpg:grpSp>
                        <wpg:grpSp>
                          <wpg:cNvGrpSpPr/>
                          <wpg:grpSpPr bwMode="auto">
                            <a:xfrm>
                              <a:off x="7830" y="189"/>
                              <a:ext cx="1680" cy="2450"/>
                              <a:chOff x="0" y="0"/>
                              <a:chExt cx="1680" cy="2450"/>
                            </a:xfrm>
                          </wpg:grpSpPr>
                          <pic:pic xmlns:pic="http://schemas.openxmlformats.org/drawingml/2006/picture">
                            <pic:nvPicPr>
                              <pic:cNvPr id="46" name=""/>
                              <pic:cNvPicPr/>
                              <pic:nvPr/>
                            </pic:nvPicPr>
                            <pic:blipFill>
                              <a:blip r:embed="rId53"/>
                              <a:srcRect l="36778" t="37625" r="35825" b="28616"/>
                              <a:stretch/>
                            </pic:blipFill>
                            <pic:spPr bwMode="auto">
                              <a:xfrm>
                                <a:off x="0" y="0"/>
                                <a:ext cx="1680" cy="1634"/>
                              </a:xfrm>
                              <a:prstGeom prst="rect">
                                <a:avLst/>
                              </a:prstGeom>
                              <a:noFill/>
                              <a:ln>
                                <a:noFill/>
                              </a:ln>
                            </pic:spPr>
                          </pic:pic>
                          <wps:wsp>
                            <wps:cNvPr id="47" name=""/>
                            <wps:cNvSpPr/>
                            <wps:spPr bwMode="auto">
                              <a:xfrm>
                                <a:off x="1050" y="1544"/>
                                <a:ext cx="300" cy="906"/>
                              </a:xfrm>
                              <a:prstGeom prst="line">
                                <a:avLst/>
                              </a:prstGeom>
                              <a:solidFill>
                                <a:srgbClr val="FFFFFF"/>
                              </a:solidFill>
                              <a:ln>
                                <a:solidFill>
                                  <a:srgbClr val="000000"/>
                                </a:solidFill>
                              </a:ln>
                            </wps:spPr>
                            <wps:bodyPr rot="0">
                              <a:prstTxWarp prst="textNoShape">
                                <a:avLst/>
                              </a:prstTxWarp>
                              <a:noAutofit/>
                            </wps:bodyPr>
                          </wps:wsp>
                        </wpg:grpSp>
                      </wpg:grpSp>
                      <wpg:grpSp>
                        <wpg:cNvGrpSpPr/>
                        <wpg:grpSpPr bwMode="auto">
                          <a:xfrm>
                            <a:off x="226" y="5665"/>
                            <a:ext cx="9550" cy="6312"/>
                            <a:chOff x="0" y="0"/>
                            <a:chExt cx="9550" cy="6312"/>
                          </a:xfrm>
                        </wpg:grpSpPr>
                        <pic:pic xmlns:pic="http://schemas.openxmlformats.org/drawingml/2006/picture">
                          <pic:nvPicPr>
                            <pic:cNvPr id="54" name=""/>
                            <pic:cNvPicPr/>
                            <pic:nvPr/>
                          </pic:nvPicPr>
                          <pic:blipFill>
                            <a:blip r:embed="rId54"/>
                            <a:srcRect l="0" t="76436" r="0" b="0"/>
                            <a:stretch/>
                          </pic:blipFill>
                          <pic:spPr bwMode="auto">
                            <a:xfrm>
                              <a:off x="0" y="3632"/>
                              <a:ext cx="9507" cy="2679"/>
                            </a:xfrm>
                            <a:prstGeom prst="rect">
                              <a:avLst/>
                            </a:prstGeom>
                            <a:noFill/>
                            <a:ln>
                              <a:noFill/>
                            </a:ln>
                          </pic:spPr>
                        </pic:pic>
                        <wpg:grpSp>
                          <wpg:cNvGrpSpPr/>
                          <wpg:grpSpPr bwMode="auto">
                            <a:xfrm>
                              <a:off x="44" y="0"/>
                              <a:ext cx="9506" cy="3648"/>
                              <a:chOff x="0" y="0"/>
                              <a:chExt cx="9506" cy="3648"/>
                            </a:xfrm>
                          </wpg:grpSpPr>
                          <pic:pic xmlns:pic="http://schemas.openxmlformats.org/drawingml/2006/picture">
                            <pic:nvPicPr>
                              <pic:cNvPr id="56" name=""/>
                              <pic:cNvPicPr/>
                              <pic:nvPr/>
                            </pic:nvPicPr>
                            <pic:blipFill>
                              <a:blip r:embed="rId54"/>
                              <a:srcRect l="0" t="42917" r="0" b="26704"/>
                              <a:stretch/>
                            </pic:blipFill>
                            <pic:spPr bwMode="auto">
                              <a:xfrm>
                                <a:off x="0" y="0"/>
                                <a:ext cx="9507" cy="3455"/>
                              </a:xfrm>
                              <a:prstGeom prst="rect">
                                <a:avLst/>
                              </a:prstGeom>
                              <a:noFill/>
                              <a:ln>
                                <a:noFill/>
                              </a:ln>
                            </pic:spPr>
                          </pic:pic>
                          <wpg:grpSp>
                            <wpg:cNvGrpSpPr/>
                            <wpg:grpSpPr bwMode="auto">
                              <a:xfrm>
                                <a:off x="447" y="659"/>
                                <a:ext cx="2023" cy="2976"/>
                                <a:chOff x="0" y="0"/>
                                <a:chExt cx="2031" cy="3155"/>
                              </a:xfrm>
                            </wpg:grpSpPr>
                            <pic:pic xmlns:pic="http://schemas.openxmlformats.org/drawingml/2006/picture">
                              <pic:nvPicPr>
                                <pic:cNvPr id="58" name=""/>
                                <pic:cNvPicPr/>
                                <pic:nvPr/>
                              </pic:nvPicPr>
                              <pic:blipFill>
                                <a:blip r:embed="rId55"/>
                                <a:srcRect l="33661" t="13376" r="40033" b="25188"/>
                                <a:stretch/>
                              </pic:blipFill>
                              <pic:spPr bwMode="auto">
                                <a:xfrm>
                                  <a:off x="0" y="0"/>
                                  <a:ext cx="1570" cy="2932"/>
                                </a:xfrm>
                                <a:prstGeom prst="rect">
                                  <a:avLst/>
                                </a:prstGeom>
                                <a:noFill/>
                                <a:ln>
                                  <a:noFill/>
                                </a:ln>
                              </pic:spPr>
                            </pic:pic>
                            <wps:wsp>
                              <wps:cNvPr id="59" name=""/>
                              <wps:cNvSpPr/>
                              <wps:spPr bwMode="auto">
                                <a:xfrm>
                                  <a:off x="258" y="3000"/>
                                  <a:ext cx="1064" cy="155"/>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竖向连接钢丝</w:t>
                                    </w:r>
                                    <w:r/>
                                  </w:p>
                                </w:txbxContent>
                              </wps:txbx>
                              <wps:bodyPr wrap="square" lIns="0" tIns="0" rIns="0" bIns="0" fromWordArt="1">
                                <a:prstTxWarp prst="textPlain">
                                  <a:avLst>
                                    <a:gd name="adj" fmla="val 50000"/>
                                  </a:avLst>
                                </a:prstTxWarp>
                                <a:normAutofit/>
                              </wps:bodyPr>
                            </wps:wsp>
                            <wps:wsp>
                              <wps:cNvPr id="60" name=""/>
                              <wps:cNvSpPr/>
                              <wps:spPr bwMode="auto">
                                <a:xfrm>
                                  <a:off x="771" y="659"/>
                                  <a:ext cx="540" cy="468"/>
                                </a:xfrm>
                                <a:prstGeom prst="line">
                                  <a:avLst/>
                                </a:prstGeom>
                                <a:solidFill>
                                  <a:srgbClr val="FFFFFF"/>
                                </a:solidFill>
                                <a:ln>
                                  <a:solidFill>
                                    <a:srgbClr val="000000"/>
                                  </a:solidFill>
                                </a:ln>
                              </wps:spPr>
                              <wps:bodyPr rot="0">
                                <a:prstTxWarp prst="textNoShape">
                                  <a:avLst/>
                                </a:prstTxWarp>
                                <a:noAutofit/>
                              </wps:bodyPr>
                            </wps:wsp>
                            <wps:wsp>
                              <wps:cNvPr id="61" name=""/>
                              <wps:cNvSpPr/>
                              <wps:spPr bwMode="auto">
                                <a:xfrm>
                                  <a:off x="1311" y="1127"/>
                                  <a:ext cx="720" cy="0"/>
                                </a:xfrm>
                                <a:prstGeom prst="line">
                                  <a:avLst/>
                                </a:prstGeom>
                                <a:solidFill>
                                  <a:srgbClr val="FFFFFF"/>
                                </a:solidFill>
                                <a:ln>
                                  <a:solidFill>
                                    <a:srgbClr val="000000"/>
                                  </a:solidFill>
                                </a:ln>
                              </wps:spPr>
                              <wps:bodyPr rot="0">
                                <a:prstTxWarp prst="textNoShape">
                                  <a:avLst/>
                                </a:prstTxWarp>
                                <a:noAutofit/>
                              </wps:bodyPr>
                            </wps:wsp>
                            <wps:wsp>
                              <wps:cNvPr id="62" name=""/>
                              <wps:cNvSpPr/>
                              <wps:spPr bwMode="auto">
                                <a:xfrm>
                                  <a:off x="1363" y="937"/>
                                  <a:ext cx="576" cy="155"/>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弹簧钩</w:t>
                                    </w:r>
                                    <w:r/>
                                  </w:p>
                                </w:txbxContent>
                              </wps:txbx>
                              <wps:bodyPr wrap="square" lIns="0" tIns="0" rIns="0" bIns="0" fromWordArt="1">
                                <a:prstTxWarp prst="textPlain">
                                  <a:avLst>
                                    <a:gd name="adj" fmla="val 50000"/>
                                  </a:avLst>
                                </a:prstTxWarp>
                                <a:normAutofit/>
                              </wps:bodyPr>
                            </wps:wsp>
                          </wpg:grpSp>
                          <wps:wsp>
                            <wps:cNvPr id="63" name=""/>
                            <wps:cNvSpPr/>
                            <wps:spPr bwMode="auto">
                              <a:xfrm>
                                <a:off x="3140" y="3484"/>
                                <a:ext cx="3383" cy="165"/>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333333"/>
                                        </w14:solidFill>
                                      </w14:textFill>
                                    </w:rPr>
                                  </w:pPr>
                                  <w:r>
                                    <w:rPr>
                                      <w:rFonts w:ascii="宋体" w:hAnsi="宋体"/>
                                      <w:sz w:val="72"/>
                                      <w:szCs w:val="72"/>
                                      <w14:textOutline w14:w="12700">
                                        <w14:solidFill>
                                          <w14:srgbClr w14:val="000000"/>
                                        </w14:solidFill>
                                      </w14:textOutline>
                                      <w14:textFill>
                                        <w14:solidFill>
                                          <w14:srgbClr w14:val="333333"/>
                                        </w14:solidFill>
                                      </w14:textFill>
                                    </w:rPr>
                                    <w:t xml:space="preserve">弹簧钩           铜箍正面        铜箍侧面</w:t>
                                  </w:r>
                                  <w:r/>
                                </w:p>
                              </w:txbxContent>
                            </wps:txbx>
                            <wps:bodyPr wrap="square" lIns="0" tIns="0" rIns="0" bIns="0" fromWordArt="1">
                              <a:prstTxWarp prst="textPlain">
                                <a:avLst>
                                  <a:gd name="adj" fmla="val 50000"/>
                                </a:avLst>
                              </a:prstTxWarp>
                              <a:normAutofit/>
                            </wps:bodyPr>
                          </wps:wsp>
                        </wpg:grpSp>
                      </wpg:grpSp>
                    </wpg:wgp>
                  </a:graphicData>
                </a:graphic>
              </wp:anchor>
            </w:drawing>
          </mc:Choice>
          <mc:Fallback>
            <w:pict>
              <v:group id="group 33" o:spid="_x0000_s0000" style="position:absolute;z-index:251699200;o:allowoverlap:true;o:allowincell:true;mso-position-horizontal-relative:text;margin-left:-13.8pt;mso-position-horizontal:absolute;mso-position-vertical-relative:text;margin-top:10.4pt;mso-position-vertical:absolute;width:491.7pt;height:598.9pt;mso-wrap-distance-left:9.0pt;mso-wrap-distance-top:0.0pt;mso-wrap-distance-right:9.0pt;mso-wrap-distance-bottom:0.0pt;" coordorigin="0,0" coordsize="98,119">
                <v:group id="group 34" o:spid="_x0000_s0000" style="position:absolute;left:8;top:32;width:81;height:24;" coordorigin="0,0" coordsize="70,2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left:0;top:0;width:70;height:22;" stroked="f">
                    <v:path textboxrect="0,0,0,0"/>
                    <w10:wrap type="topAndBottom"/>
                    <v:imagedata r:id="rId49" o:title=""/>
                  </v:shape>
                  <v:shape id="shape 36" o:spid="_x0000_s36" o:spt="1" type="#_x0000_t1" style="position:absolute;left:30;top:17;width:10;height:1;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横向连接钢丝</w:t>
                          </w:r>
                          <w:r/>
                        </w:p>
                      </w:txbxContent>
                    </v:textbox>
                  </v:shape>
                </v:group>
                <v:group id="group 37" o:spid="_x0000_s0000" style="position:absolute;left:0;top:0;width:98;height:38;" coordorigin="0,0" coordsize="95,37">
                  <v:group id="group 38" o:spid="_x0000_s0000" style="position:absolute;left:0;top:0;width:95;height:37;" coordorigin="0,0" coordsize="95,37">
                    <v:group id="group 39" o:spid="_x0000_s0000" style="position:absolute;left:0;top:0;width:95;height:32;" coordorigin="0,0" coordsize="95,3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left:0;top:0;width:95;height:32;" stroked="f">
                        <v:path textboxrect="0,0,0,0"/>
                        <v:imagedata r:id="rId50" o:title=""/>
                      </v:shape>
                      <v:group id="group 41" o:spid="_x0000_s0000" style="position:absolute;left:0;top:1;width:27;height:15;" coordorigin="0,0" coordsize="27,1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left:0;top:0;width:19;height:15;" stroked="f">
                          <v:path textboxrect="0,0,0,0"/>
                          <v:imagedata r:id="rId51" o:title=""/>
                        </v:shape>
                        <v:line id="shape 43" o:spid="_x0000_s43" style="position:absolute;left:0;text-align:left;z-index:251699200;flip:y;visibility:visible;" from="30.6pt,17.2pt" to="41.4pt,18.7pt" fillcolor="#FFFFFF" strokecolor="#000000"/>
                        <v:line id="shape 44" o:spid="_x0000_s44" style="position:absolute;left:0;text-align:left;z-index:251699200;visibility:visible;" from="30.6pt,17.2pt" to="41.4pt,18.7pt" fillcolor="#FFFFFF" strokecolor="#000000"/>
                        <v:shape id="shape 45" o:spid="_x0000_s45" o:spt="1" type="#_x0000_t1" style="position:absolute;left:20;top:0;width:5;height:1;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弹簧钩</w:t>
                                </w:r>
                                <w:r/>
                              </w:p>
                            </w:txbxContent>
                          </v:textbox>
                        </v:shape>
                      </v:group>
                    </v:group>
                    <v:group id="group 46" o:spid="_x0000_s0000" style="position:absolute;left:31;top:17;width:34;height:19;" coordorigin="0,0" coordsize="34,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left:6;top:0;width:21;height:19;" stroked="f">
                        <v:path textboxrect="0,0,0,0"/>
                        <v:imagedata r:id="rId52" o:title=""/>
                      </v:shape>
                      <v:line id="shape 48" o:spid="_x0000_s48" style="position:absolute;left:0;text-align:left;z-index:251699200;flip:xy;visibility:visible;" from="20.6pt,0.8pt" to="26.0pt,2.7pt" fillcolor="#FFFFFF" strokecolor="#000000"/>
                      <v:line id="shape 49" o:spid="_x0000_s49" style="position:absolute;left:0;text-align:left;z-index:251699200;flip:x;visibility:visible;" from="20.6pt,0.8pt" to="26.0pt,2.7pt" fillcolor="#FFFFFF" strokecolor="#000000"/>
                      <v:shape id="shape 50" o:spid="_x0000_s50" o:spt="1" type="#_x0000_t1" style="position:absolute;left:4;top:0;width:6;height:1;visibility:visible;" filled="f" stroked="f">
                        <v:textbox inset="0,0,0,0">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铜箍侧面</w:t>
                              </w:r>
                              <w:r/>
                            </w:p>
                          </w:txbxContent>
                        </v:textbox>
                      </v:shape>
                      <v:line id="shape 51" o:spid="_x0000_s51" style="position:absolute;left:0;text-align:left;z-index:251699200;flip:xy;visibility:visible;" from="4.0pt,0.9pt" to="10.4pt,2.5pt" fillcolor="#FFFFFF" strokecolor="#000000"/>
                      <v:line id="shape 52" o:spid="_x0000_s52" style="position:absolute;left:0;text-align:left;z-index:251699200;flip:x;visibility:visible;" from="4.0pt,0.9pt" to="10.4pt,2.5pt" fillcolor="#FFFFFF" strokecolor="#000000"/>
                      <v:shape id="shape 53" o:spid="_x0000_s53" o:spt="1" type="#_x0000_t1" style="position:absolute;left:0;top:5;width:7;height:1;visibility:visible;" filled="f" stroked="f">
                        <v:textbox inset="0,0,0,0">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竖向钢丝绳</w:t>
                              </w:r>
                              <w:r/>
                            </w:p>
                          </w:txbxContent>
                        </v:textbox>
                      </v:shape>
                      <v:line id="shape 54" o:spid="_x0000_s54" style="position:absolute;left:0;text-align:left;z-index:251699200;flip:y;visibility:visible;" from="0.0pt,5.7pt" to="7.1pt,7.5pt" fillcolor="#FFFFFF" strokecolor="#000000"/>
                      <v:line id="shape 55" o:spid="_x0000_s55" style="position:absolute;left:0;text-align:left;z-index:251699200;flip:x;visibility:visible;" from="0.0pt,5.7pt" to="7.1pt,7.5pt" fillcolor="#FFFFFF" strokecolor="#000000"/>
                      <v:shape id="shape 56" o:spid="_x0000_s56" o:spt="1" type="#_x0000_t1" style="position:absolute;left:26;top:5;width:7;height:1;visibility:visible;" filled="f" stroked="f">
                        <v:textbox inset="0,0,0,0">
                          <w:txbxContent>
                            <w:p>
                              <w:pPr>
                                <w:jc w:val="center"/>
                                <w:rPr>
                                  <w:rFonts w:ascii="宋体" w:hAnsi="宋体"/>
                                  <w:sz w:val="56"/>
                                  <w:szCs w:val="56"/>
                                  <w14:textOutline w14:w="12700">
                                    <w14:solidFill>
                                      <w14:srgbClr w14:val="000000"/>
                                    </w14:solidFill>
                                  </w14:textOutline>
                                  <w14:textFill>
                                    <w14:solidFill>
                                      <w14:srgbClr w14:val="FFFFFF"/>
                                    </w14:solidFill>
                                  </w14:textFill>
                                </w:rPr>
                              </w:pPr>
                              <w:r>
                                <w:rPr>
                                  <w:rFonts w:ascii="宋体" w:hAnsi="宋体"/>
                                  <w:sz w:val="56"/>
                                  <w:szCs w:val="56"/>
                                  <w14:textOutline w14:w="12700">
                                    <w14:solidFill>
                                      <w14:srgbClr w14:val="000000"/>
                                    </w14:solidFill>
                                  </w14:textOutline>
                                  <w14:textFill>
                                    <w14:solidFill>
                                      <w14:srgbClr w14:val="FFFFFF"/>
                                    </w14:solidFill>
                                  </w14:textFill>
                                </w:rPr>
                                <w:t xml:space="preserve">横向钢丝绳</w:t>
                              </w:r>
                              <w:r/>
                            </w:p>
                          </w:txbxContent>
                        </v:textbox>
                      </v:shape>
                    </v:group>
                  </v:group>
                  <v:group id="group 57" o:spid="_x0000_s0000" style="position:absolute;left:78;top:1;width:16;height:24;" coordorigin="0,0" coordsize="16,2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left:0;top:0;width:16;height:16;" stroked="f">
                      <v:path textboxrect="0,0,0,0"/>
                      <v:imagedata r:id="rId53" o:title=""/>
                    </v:shape>
                    <v:line id="shape 59" o:spid="_x0000_s59" style="position:absolute;left:0;text-align:left;z-index:251699200;visibility:visible;" from="26.8pt,5.7pt" to="33.9pt,7.4pt" fillcolor="#FFFFFF" strokecolor="#000000"/>
                  </v:group>
                </v:group>
                <v:group id="group 60" o:spid="_x0000_s0000" style="position:absolute;left:2;top:56;width:95;height:63;" coordorigin="0,0" coordsize="95,6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left:0;top:36;width:95;height:26;" stroked="f">
                    <v:path textboxrect="0,0,0,0"/>
                    <v:imagedata r:id="rId54" o:title=""/>
                  </v:shape>
                  <v:group id="group 62" o:spid="_x0000_s0000" style="position:absolute;left:0;top:0;width:95;height:36;" coordorigin="0,0" coordsize="95,3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left:0;top:0;width:95;height:34;" stroked="f">
                      <v:path textboxrect="0,0,0,0"/>
                      <v:imagedata r:id="rId54" o:title=""/>
                    </v:shape>
                    <v:group id="group 64" o:spid="_x0000_s0000" style="position:absolute;left:4;top:6;width:20;height:29;" coordorigin="0,0" coordsize="20,3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left:0;top:0;width:15;height:29;" stroked="f">
                        <v:path textboxrect="0,0,0,0"/>
                        <v:imagedata r:id="rId55" o:title=""/>
                      </v:shape>
                      <v:shape id="shape 66" o:spid="_x0000_s66" o:spt="1" type="#_x0000_t1" style="position:absolute;left:2;top:30;width:10;height:1;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竖向连接钢丝</w:t>
                              </w:r>
                              <w:r/>
                            </w:p>
                          </w:txbxContent>
                        </v:textbox>
                      </v:shape>
                      <v:line id="shape 67" o:spid="_x0000_s67" style="position:absolute;left:0;text-align:left;z-index:251699200;visibility:visible;" from="2.6pt,30.0pt" to="13.2pt,31.6pt" fillcolor="#FFFFFF" strokecolor="#000000"/>
                      <v:line id="shape 68" o:spid="_x0000_s68" style="position:absolute;left:0;text-align:left;z-index:251699200;visibility:visible;" from="2.6pt,30.0pt" to="13.2pt,31.6pt" fillcolor="#FFFFFF" strokecolor="#000000"/>
                      <v:shape id="shape 69" o:spid="_x0000_s69" o:spt="1" type="#_x0000_t1" style="position:absolute;left:13;top:9;width:5;height:1;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FFFFFF"/>
                                    </w14:solidFill>
                                  </w14:textFill>
                                </w:rPr>
                              </w:pPr>
                              <w:r>
                                <w:rPr>
                                  <w:rFonts w:ascii="宋体" w:hAnsi="宋体"/>
                                  <w:sz w:val="72"/>
                                  <w:szCs w:val="72"/>
                                  <w14:textOutline w14:w="12700">
                                    <w14:solidFill>
                                      <w14:srgbClr w14:val="000000"/>
                                    </w14:solidFill>
                                  </w14:textOutline>
                                  <w14:textFill>
                                    <w14:solidFill>
                                      <w14:srgbClr w14:val="FFFFFF"/>
                                    </w14:solidFill>
                                  </w14:textFill>
                                </w:rPr>
                                <w:t xml:space="preserve">弹簧钩</w:t>
                              </w:r>
                              <w:r/>
                            </w:p>
                          </w:txbxContent>
                        </v:textbox>
                      </v:shape>
                    </v:group>
                    <v:shape id="shape 70" o:spid="_x0000_s70" o:spt="1" type="#_x0000_t1" style="position:absolute;left:31;top:34;width:33;height:1;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333333"/>
                                  </w14:solidFill>
                                </w14:textFill>
                              </w:rPr>
                            </w:pPr>
                            <w:r>
                              <w:rPr>
                                <w:rFonts w:ascii="宋体" w:hAnsi="宋体"/>
                                <w:sz w:val="72"/>
                                <w:szCs w:val="72"/>
                                <w14:textOutline w14:w="12700">
                                  <w14:solidFill>
                                    <w14:srgbClr w14:val="000000"/>
                                  </w14:solidFill>
                                </w14:textOutline>
                                <w14:textFill>
                                  <w14:solidFill>
                                    <w14:srgbClr w14:val="333333"/>
                                  </w14:solidFill>
                                </w14:textFill>
                              </w:rPr>
                              <w:t xml:space="preserve">弹簧钩           铜箍正面        铜箍侧面</w:t>
                            </w:r>
                            <w:r/>
                          </w:p>
                        </w:txbxContent>
                      </v:textbox>
                    </v:shape>
                  </v:group>
                </v:group>
              </v:group>
            </w:pict>
          </mc:Fallback>
        </mc:AlternateConten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highlight w:val="none"/>
        </w:rPr>
        <w:instrText xml:space="preserve"> INCLUDEPICTURE "2026物资采购/Library/Containers/com.tencent.x</w:instrText>
      </w:r>
      <w:r>
        <w:rPr>
          <w:rFonts w:hint="default" w:ascii="Times New Roman" w:hAnsi="Times New Roman" w:cs="Times New Roman"/>
          <w:color w:val="auto"/>
          <w:highlight w:val="none"/>
        </w:rPr>
        <w:instrText xml:space="preserve">inWeChat/Data/Documents/xwechat_files/wxid_0etxblawzpt012_a84a/Documents/run/user/1000/gvfs/smb-share:server=172.16.100.7,share=cgzxfile/文件编审部/文件模板/Documents/Tencent%20Files/licheng/Users/ADMINI~1/AppData/Local/Temp/ksohtml/wps8C22.tmp.png" \* MERGEFORMAT </w:instrText>
      </w:r>
      <w:r>
        <w:rPr>
          <w:rFonts w:hint="default" w:ascii="Times New Roman" w:hAnsi="Times New Roman" w:cs="Times New Roman"/>
          <w:color w:val="auto"/>
          <w:sz w:val="24"/>
          <w:szCs w:val="24"/>
          <w:highlight w:val="none"/>
        </w:rPr>
        <w:fldChar w:fldCharType="end"/>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B.8  钢丝拉绳结构及主要尺寸</w:t>
      </w:r>
      <w:bookmarkStart w:id="806" w:name="_Toc49032433"/>
      <w:r/>
      <w:bookmarkEnd w:id="806"/>
      <w:r/>
      <w:bookmarkStart w:id="807" w:name="_Toc418769816"/>
      <w:r/>
      <w:bookmarkEnd w:id="807"/>
      <w:r/>
      <w:bookmarkStart w:id="808" w:name="_Toc21402"/>
      <w:r/>
      <w:bookmarkEnd w:id="808"/>
      <w:r/>
      <w:bookmarkStart w:id="809" w:name="_Toc339004751"/>
      <w:r/>
      <w:bookmarkEnd w:id="809"/>
      <w:r/>
      <w:bookmarkStart w:id="810" w:name="_Toc49120550"/>
      <w:r/>
      <w:bookmarkEnd w:id="810"/>
      <w:r/>
      <w:bookmarkStart w:id="811" w:name="_Toc49033525"/>
      <w:r/>
      <w:bookmarkEnd w:id="811"/>
      <w:r/>
      <w:bookmarkStart w:id="812" w:name="_Toc49092047"/>
      <w:r/>
      <w:bookmarkEnd w:id="812"/>
      <w:r/>
      <w:bookmarkStart w:id="813" w:name="_Toc247"/>
      <w:r/>
      <w:bookmarkEnd w:id="813"/>
      <w:r/>
      <w:r/>
    </w:p>
    <w:p>
      <w:pPr>
        <w:pStyle w:val="1054"/>
        <w:numPr>
          <w:ilvl w:val="0"/>
          <w:numId w:val="13"/>
        </w:numPr>
        <w:ind w:left="4305"/>
        <w:jc w:val="both"/>
        <w:keepNext w:val="0"/>
        <w:spacing w:after="20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   </w:t>
      </w:r>
      <w:bookmarkStart w:id="814" w:name="_Toc6278"/>
      <w:r/>
      <w:bookmarkStart w:id="815" w:name="_Toc418767604"/>
      <w:r/>
      <w:bookmarkStart w:id="816" w:name="_Toc418769817"/>
      <w:r/>
      <w:bookmarkStart w:id="817" w:name="_Toc692"/>
      <w:r>
        <w:rPr>
          <w:rFonts w:hint="default" w:ascii="Times New Roman" w:hAnsi="Times New Roman" w:eastAsia="黑体" w:cs="Times New Roman"/>
          <w:color w:val="auto"/>
          <w:szCs w:val="24"/>
          <w:highlight w:val="none"/>
        </w:rPr>
        <w:t xml:space="preserve">(规范性附录)</w:t>
      </w:r>
      <w:bookmarkEnd w:id="814"/>
      <w:r/>
      <w:bookmarkEnd w:id="815"/>
      <w:r/>
      <w:bookmarkEnd w:id="816"/>
      <w:r/>
      <w:bookmarkEnd w:id="817"/>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  配件名称、结构及主要尺寸</w:t>
      </w:r>
      <w:r/>
    </w:p>
    <w:p>
      <w:pPr>
        <w:pStyle w:val="1055"/>
        <w:numPr>
          <w:ilvl w:val="1"/>
          <w:numId w:val="13"/>
        </w:numPr>
        <w:ind w:left="-4"/>
        <w:spacing w:before="156" w:after="156"/>
        <w:rPr>
          <w:rFonts w:hint="default" w:ascii="Times New Roman" w:hAnsi="Times New Roman" w:cs="Times New Roman"/>
          <w:color w:val="auto"/>
          <w:highlight w:val="none"/>
        </w:rPr>
      </w:pPr>
      <w:r/>
      <w:bookmarkStart w:id="818" w:name="_Toc339004752"/>
      <w:r/>
      <w:bookmarkStart w:id="819" w:name="_Toc18701"/>
      <w:r/>
      <w:bookmarkStart w:id="820" w:name="_Toc418769818"/>
      <w:r/>
      <w:bookmarkStart w:id="821" w:name="_Toc32751"/>
      <w:r>
        <w:rPr>
          <w:rFonts w:hint="default" w:ascii="Times New Roman" w:hAnsi="Times New Roman" w:eastAsia="宋体" w:cs="Times New Roman"/>
          <w:color w:val="auto"/>
          <w:highlight w:val="none"/>
        </w:rPr>
        <w:t xml:space="preserve">三角桩结构及主要尺寸见图C.1。</w:t>
      </w:r>
      <w:bookmarkEnd w:id="818"/>
      <w:r/>
      <w:bookmarkEnd w:id="819"/>
      <w:r/>
      <w:bookmarkEnd w:id="820"/>
      <w:r/>
      <w:bookmarkEnd w:id="821"/>
      <w:r/>
      <w:r/>
    </w:p>
    <w:p>
      <w:pPr>
        <w:pStyle w:val="1044"/>
        <w:ind w:firstLine="360"/>
        <w:jc w:val="right"/>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ind w:firstLine="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5200" distR="115200" simplePos="0" relativeHeight="251734016" behindDoc="0" locked="0" layoutInCell="1" allowOverlap="1">
                <wp:simplePos x="0" y="0"/>
                <wp:positionH relativeFrom="column">
                  <wp:posOffset>203200</wp:posOffset>
                </wp:positionH>
                <wp:positionV relativeFrom="paragraph">
                  <wp:posOffset>0</wp:posOffset>
                </wp:positionV>
                <wp:extent cx="5330190" cy="1256030"/>
                <wp:effectExtent l="0" t="0" r="3810" b="1270"/>
                <wp:wrapTopAndBottom/>
                <wp:docPr id="33" name="图片 8" descr="9-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8" descr="9-Model"/>
                        <pic:cNvPicPr>
                          <a:picLocks noChangeAspect="1"/>
                        </pic:cNvPicPr>
                        <pic:nvPr/>
                      </pic:nvPicPr>
                      <pic:blipFill>
                        <a:blip r:embed="rId56"/>
                        <a:srcRect l="542" t="35330" r="203" b="35466"/>
                        <a:stretch/>
                      </pic:blipFill>
                      <pic:spPr bwMode="auto">
                        <a:xfrm>
                          <a:off x="0" y="0"/>
                          <a:ext cx="5330190" cy="125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34016;o:allowoverlap:true;o:allowincell:true;mso-position-horizontal-relative:text;margin-left:16.0pt;mso-position-horizontal:absolute;mso-position-vertical-relative:text;margin-top:0.0pt;mso-position-vertical:absolute;width:419.7pt;height:98.9pt;mso-wrap-distance-left:9.1pt;mso-wrap-distance-top:0.0pt;mso-wrap-distance-right:9.1pt;mso-wrap-distance-bottom:0.0pt;" stroked="f">
                <v:path textboxrect="0,0,0,0"/>
                <w10:wrap type="topAndBottom"/>
                <v:imagedata r:id="rId56" o:title=""/>
              </v:shape>
            </w:pict>
          </mc:Fallback>
        </mc:AlternateContent>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图C.1  三角桩结构及主要尺寸</w:t>
      </w:r>
      <w:r/>
    </w:p>
    <w:p>
      <w:pPr>
        <w:pStyle w:val="1055"/>
        <w:numPr>
          <w:ilvl w:val="1"/>
          <w:numId w:val="13"/>
        </w:numPr>
        <w:ind w:left="-4"/>
        <w:spacing w:before="156" w:after="156"/>
        <w:rPr>
          <w:rFonts w:hint="default" w:ascii="Times New Roman" w:hAnsi="Times New Roman" w:eastAsia="宋体" w:cs="Times New Roman"/>
          <w:color w:val="auto"/>
          <w:highlight w:val="none"/>
        </w:rPr>
      </w:pPr>
      <w:r/>
      <w:bookmarkStart w:id="822" w:name="_Toc17363"/>
      <w:r/>
      <w:bookmarkStart w:id="823" w:name="_Toc11652"/>
      <w:r/>
      <w:bookmarkStart w:id="824" w:name="_Toc418769819"/>
      <w:r/>
      <w:bookmarkStart w:id="825" w:name="_Toc339004753"/>
      <w:r>
        <w:rPr>
          <w:rFonts w:hint="default" w:ascii="Times New Roman" w:hAnsi="Times New Roman" w:eastAsia="宋体" w:cs="Times New Roman"/>
          <w:color w:val="auto"/>
          <w:highlight w:val="none"/>
        </w:rPr>
        <w:t xml:space="preserve">带管三角环结构及主要尺寸见图C.2。</w:t>
      </w:r>
      <w:bookmarkEnd w:id="822"/>
      <w:r/>
      <w:bookmarkEnd w:id="823"/>
      <w:r/>
      <w:bookmarkEnd w:id="824"/>
      <w:r/>
      <w:bookmarkEnd w:id="825"/>
      <w:r/>
      <w:r/>
    </w:p>
    <w:p>
      <w:pPr>
        <w:pStyle w:val="1044"/>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829310</wp:posOffset>
                </wp:positionH>
                <wp:positionV relativeFrom="paragraph">
                  <wp:posOffset>321582</wp:posOffset>
                </wp:positionV>
                <wp:extent cx="4077970" cy="2340610"/>
                <wp:effectExtent l="0" t="0" r="11430" b="8890"/>
                <wp:wrapTopAndBottom/>
                <wp:docPr id="34" name="图片 190" descr="24 棉 带管三角环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0" descr="24 棉 带管三角环 2010"/>
                        <pic:cNvPicPr>
                          <a:picLocks noChangeAspect="1"/>
                        </pic:cNvPicPr>
                        <pic:nvPr/>
                      </pic:nvPicPr>
                      <pic:blipFill>
                        <a:blip r:embed="rId57"/>
                        <a:srcRect l="0" t="7828" r="2233" b="1376"/>
                        <a:stretch/>
                      </pic:blipFill>
                      <pic:spPr bwMode="auto">
                        <a:xfrm>
                          <a:off x="0" y="0"/>
                          <a:ext cx="4077970" cy="2340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92032;o:allowoverlap:true;o:allowincell:true;mso-position-horizontal-relative:text;margin-left:65.3pt;mso-position-horizontal:absolute;mso-position-vertical-relative:text;margin-top:25.3pt;mso-position-vertical:absolute;width:321.1pt;height:184.3pt;mso-wrap-distance-left:9.0pt;mso-wrap-distance-top:0.0pt;mso-wrap-distance-right:9.0pt;mso-wrap-distance-bottom:0.0pt;" stroked="f">
                <v:path textboxrect="0,0,0,0"/>
                <w10:wrap type="topAndBottom"/>
                <v:imagedata r:id="rId57" o:title=""/>
              </v:shape>
            </w:pict>
          </mc:Fallback>
        </mc:AlternateContent>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szCs w:val="24"/>
          <w:highlight w:val="none"/>
        </w:rPr>
      </w:r>
      <w:r>
        <w:rPr>
          <w:rFonts w:hint="default" w:ascii="Times New Roman" w:hAnsi="Times New Roman" w:eastAsia="仿宋" w:cs="Times New Roman"/>
          <w:color w:val="auto"/>
          <w:szCs w:val="24"/>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图C.2带管三角环结构及主要尺寸</w:t>
      </w:r>
      <w:r/>
    </w:p>
    <w:p>
      <w:pPr>
        <w:shd w:val="nil" w:color="auto"/>
        <w:rPr>
          <w:rFonts w:hint="default" w:ascii="Times New Roman" w:hAnsi="Times New Roman" w:cs="Times New Roman"/>
          <w:color w:val="auto"/>
          <w:highlight w:val="none"/>
        </w:rPr>
      </w:pPr>
      <w:r>
        <w:rPr>
          <w:highlight w:val="none"/>
        </w:rPr>
        <w:br w:type="page" w:clear="all"/>
      </w:r>
      <w:r>
        <w:rPr>
          <w:highlight w:val="none"/>
        </w:rPr>
      </w:r>
      <w:r/>
    </w:p>
    <w:p>
      <w:pPr>
        <w:pStyle w:val="1055"/>
        <w:numPr>
          <w:ilvl w:val="1"/>
          <w:numId w:val="13"/>
        </w:numPr>
        <w:ind w:left="568" w:firstLine="0"/>
        <w:spacing w:before="156" w:after="156"/>
        <w:rPr>
          <w:rFonts w:hint="default" w:ascii="Times New Roman" w:hAnsi="Times New Roman" w:cs="Times New Roman"/>
          <w:color w:val="auto"/>
          <w:highlight w:val="none"/>
        </w:rPr>
      </w:pPr>
      <w:r/>
      <w:bookmarkStart w:id="826" w:name="_Toc15516"/>
      <w:r/>
      <w:bookmarkStart w:id="827" w:name="_Toc418769821"/>
      <w:r/>
      <w:bookmarkStart w:id="828" w:name="_Toc339004755"/>
      <w:r/>
      <w:bookmarkStart w:id="829" w:name="_Toc556"/>
      <w:r>
        <w:rPr>
          <w:rFonts w:hint="default" w:ascii="Times New Roman" w:hAnsi="Times New Roman" w:eastAsia="宋体" w:cs="Times New Roman"/>
          <w:color w:val="auto"/>
          <w:highlight w:val="none"/>
        </w:rPr>
        <w:t xml:space="preserve">半圆环结构及主要尺寸见图C.3。</w:t>
      </w:r>
      <w:bookmarkEnd w:id="826"/>
      <w:r/>
      <w:bookmarkEnd w:id="827"/>
      <w:r/>
      <w:bookmarkEnd w:id="828"/>
      <w:r/>
      <w:bookmarkEnd w:id="829"/>
      <w:r/>
      <w:r/>
    </w:p>
    <w:p>
      <w:pPr>
        <w:pStyle w:val="1044"/>
        <w:ind w:firstLine="360"/>
        <w:jc w:val="right"/>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2118133</wp:posOffset>
                </wp:positionH>
                <wp:positionV relativeFrom="paragraph">
                  <wp:posOffset>4722</wp:posOffset>
                </wp:positionV>
                <wp:extent cx="1818640" cy="1621790"/>
                <wp:effectExtent l="0" t="0" r="10160" b="3810"/>
                <wp:wrapTopAndBottom/>
                <wp:docPr id="35" name="图片 189" descr="36 棉帐篷 半圆环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47334" name="图片 189" descr="36 棉帐篷 半圆环 10"/>
                        <pic:cNvPicPr>
                          <a:picLocks noChangeAspect="1"/>
                        </pic:cNvPicPr>
                        <pic:nvPr/>
                      </pic:nvPicPr>
                      <pic:blipFill>
                        <a:blip r:embed="rId58"/>
                        <a:srcRect l="12553" t="8551" r="17162" b="16183"/>
                        <a:stretch/>
                      </pic:blipFill>
                      <pic:spPr bwMode="auto">
                        <a:xfrm>
                          <a:off x="0" y="0"/>
                          <a:ext cx="1818639" cy="162178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95104;o:allowoverlap:true;o:allowincell:true;mso-position-horizontal-relative:text;margin-left:166.8pt;mso-position-horizontal:absolute;mso-position-vertical-relative:text;margin-top:0.4pt;mso-position-vertical:absolute;width:143.2pt;height:127.7pt;mso-wrap-distance-left:9.0pt;mso-wrap-distance-top:0.0pt;mso-wrap-distance-right:9.0pt;mso-wrap-distance-bottom:0.0pt;" stroked="f">
                <v:path textboxrect="0,0,0,0"/>
                <w10:wrap type="topAndBottom"/>
                <v:imagedata r:id="rId58" o:title=""/>
              </v:shape>
            </w:pict>
          </mc:Fallback>
        </mc:AlternateContent>
      </w:r>
      <w:r>
        <w:rPr>
          <w:rFonts w:hint="default" w:ascii="Times New Roman" w:hAnsi="Times New Roman"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图C.3  半圆环结构及主要尺寸</w:t>
      </w:r>
      <w:r/>
    </w:p>
    <w:p>
      <w:pPr>
        <w:pStyle w:val="1044"/>
        <w:ind w:left="0" w:firstLine="0"/>
        <w:jc w:val="both"/>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55"/>
        <w:numPr>
          <w:ilvl w:val="1"/>
          <w:numId w:val="13"/>
        </w:numPr>
        <w:ind w:left="-16"/>
        <w:spacing w:before="156" w:after="156"/>
        <w:rPr>
          <w:rFonts w:hint="default" w:ascii="Times New Roman" w:hAnsi="Times New Roman" w:cs="Times New Roman"/>
          <w:color w:val="auto"/>
          <w:highlight w:val="none"/>
        </w:rPr>
      </w:pPr>
      <w:r/>
      <w:bookmarkStart w:id="830" w:name="_Toc339004756"/>
      <w:r/>
      <w:bookmarkStart w:id="831" w:name="_Toc418769822"/>
      <w:r/>
      <w:bookmarkStart w:id="832" w:name="_Toc24404"/>
      <w:r/>
      <w:bookmarkStart w:id="833" w:name="_Toc4475"/>
      <w:r>
        <w:rPr>
          <w:rFonts w:hint="default" w:ascii="Times New Roman" w:hAnsi="Times New Roman" w:eastAsia="宋体" w:cs="Times New Roman"/>
          <w:color w:val="auto"/>
          <w:highlight w:val="none"/>
        </w:rPr>
        <w:t xml:space="preserve">橡塑桩头结构及主要尺寸见</w:t>
      </w:r>
      <w:r>
        <w:rPr>
          <w:rFonts w:hint="default" w:ascii="Times New Roman" w:hAnsi="Times New Roman" w:eastAsia="宋体" w:cs="Times New Roman"/>
          <w:color w:val="auto"/>
          <w:highlight w:val="none"/>
        </w:rPr>
        <w:t xml:space="preserve">图C.4。</w:t>
      </w:r>
      <w:bookmarkEnd w:id="830"/>
      <w:r/>
      <w:bookmarkEnd w:id="831"/>
      <w:r/>
      <w:bookmarkEnd w:id="832"/>
      <w:r/>
      <w:bookmarkEnd w:id="833"/>
      <w:r/>
      <w:r/>
    </w:p>
    <w:p>
      <w:pPr>
        <w:pStyle w:val="1044"/>
        <w:ind w:firstLine="360"/>
        <w:jc w:val="right"/>
        <w:rPr>
          <w:rFonts w:hint="default" w:ascii="Times New Roman" w:hAnsi="Times New Roman" w:cs="Times New Roman"/>
          <w:color w:val="auto"/>
          <w:highlight w:val="none"/>
        </w:rPr>
      </w:pP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1085306</wp:posOffset>
                </wp:positionH>
                <wp:positionV relativeFrom="paragraph">
                  <wp:posOffset>15364</wp:posOffset>
                </wp:positionV>
                <wp:extent cx="3884295" cy="2593340"/>
                <wp:effectExtent l="0" t="0" r="1905" b="10160"/>
                <wp:wrapTopAndBottom/>
                <wp:docPr id="36" name="图片 188" descr="36棉 三角桩 桩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59366" name="图片 188" descr="36棉 三角桩 桩头"/>
                        <pic:cNvPicPr>
                          <a:picLocks noChangeAspect="1"/>
                        </pic:cNvPicPr>
                        <pic:nvPr/>
                      </pic:nvPicPr>
                      <pic:blipFill>
                        <a:blip r:embed="rId59"/>
                        <a:stretch/>
                      </pic:blipFill>
                      <pic:spPr bwMode="auto">
                        <a:xfrm>
                          <a:off x="0" y="0"/>
                          <a:ext cx="3884294" cy="259333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89984;o:allowoverlap:true;o:allowincell:true;mso-position-horizontal-relative:text;margin-left:85.5pt;mso-position-horizontal:absolute;mso-position-vertical-relative:text;margin-top:1.2pt;mso-position-vertical:absolute;width:305.8pt;height:204.2pt;mso-wrap-distance-left:9.0pt;mso-wrap-distance-top:0.0pt;mso-wrap-distance-right:9.0pt;mso-wrap-distance-bottom:0.0pt;" stroked="f">
                <v:path textboxrect="0,0,0,0"/>
                <w10:wrap type="topAndBottom"/>
                <v:imagedata r:id="rId59" o:title=""/>
              </v:shape>
            </w:pict>
          </mc:Fallback>
        </mc:AlternateContent>
      </w: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图C.4 橡塑桩头结构及主要尺寸</w:t>
      </w:r>
      <w:r/>
    </w:p>
    <w:p>
      <w:pPr>
        <w:pStyle w:val="1044"/>
        <w:ind w:firstLine="0"/>
        <w:jc w:val="center"/>
        <w:spacing w:line="48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 </w:t>
      </w:r>
      <w:r/>
    </w:p>
    <w:p>
      <w:pPr>
        <w:shd w:val="nil" w:color="auto"/>
        <w:rPr>
          <w:rFonts w:hint="default" w:ascii="Times New Roman" w:hAnsi="Times New Roman" w:cs="Times New Roman"/>
          <w:color w:val="auto"/>
          <w:sz w:val="18"/>
          <w:szCs w:val="18"/>
          <w:highlight w:val="none"/>
        </w:rPr>
      </w:pPr>
      <w:r>
        <w:rPr>
          <w:rFonts w:hint="default" w:ascii="Times New Roman" w:hAnsi="Times New Roman" w:eastAsia="黑体" w:cs="Times New Roman"/>
          <w:color w:val="auto"/>
          <w:highlight w:val="none"/>
        </w:rPr>
        <w:br w:type="page" w:clear="all"/>
      </w:r>
      <w:r>
        <w:rPr>
          <w:rFonts w:hint="default" w:ascii="Times New Roman" w:hAnsi="Times New Roman" w:eastAsia="黑体" w:cs="Times New Roman"/>
          <w:color w:val="auto"/>
          <w:highlight w:val="none"/>
        </w:rPr>
      </w:r>
      <w:r/>
    </w:p>
    <w:p>
      <w:pPr>
        <w:pStyle w:val="1044"/>
        <w:ind w:firstLine="0"/>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C.5</w:t>
      </w:r>
      <w:r>
        <w:rPr>
          <w:rFonts w:hint="default" w:ascii="Times New Roman" w:hAnsi="Times New Roman" w:cs="Times New Roman"/>
          <w:color w:val="auto"/>
          <w:highlight w:val="none"/>
        </w:rPr>
        <w:t xml:space="preserve">  </w:t>
      </w:r>
      <w:r>
        <w:rPr>
          <w:rFonts w:hint="default" w:ascii="Times New Roman" w:hAnsi="Times New Roman" w:eastAsia="黑体" w:cs="Times New Roman"/>
          <w:color w:val="auto"/>
          <w:highlight w:val="none"/>
        </w:rPr>
        <w:t xml:space="preserve">框架内包装及固定框尺寸示意图见图C.5。</w:t>
      </w:r>
      <w:r/>
    </w:p>
    <w:p>
      <w:pPr>
        <w:pStyle w:val="1044"/>
        <w:jc w:val="right"/>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1454150</wp:posOffset>
                </wp:positionH>
                <wp:positionV relativeFrom="paragraph">
                  <wp:posOffset>826588</wp:posOffset>
                </wp:positionV>
                <wp:extent cx="2830830" cy="2221230"/>
                <wp:effectExtent l="0" t="0" r="1270" b="1270"/>
                <wp:wrapTopAndBottom/>
                <wp:docPr id="37" name="图片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7"/>
                        <pic:cNvPicPr>
                          <a:picLocks noChangeAspect="1"/>
                        </pic:cNvPicPr>
                        <pic:nvPr/>
                      </pic:nvPicPr>
                      <pic:blipFill>
                        <a:blip r:embed="rId60"/>
                        <a:srcRect l="28590" t="34671" r="29819" b="13129"/>
                        <a:stretch/>
                      </pic:blipFill>
                      <pic:spPr bwMode="auto">
                        <a:xfrm>
                          <a:off x="0" y="0"/>
                          <a:ext cx="2830830" cy="22212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96128;o:allowoverlap:true;o:allowincell:true;mso-position-horizontal-relative:text;margin-left:114.5pt;mso-position-horizontal:absolute;mso-position-vertical-relative:text;margin-top:65.1pt;mso-position-vertical:absolute;width:222.9pt;height:174.9pt;mso-wrap-distance-left:9.0pt;mso-wrap-distance-top:0.0pt;mso-wrap-distance-right:9.0pt;mso-wrap-distance-bottom:0.0pt;" stroked="f">
                <v:path textboxrect="0,0,0,0"/>
                <w10:wrap type="topAndBottom"/>
                <v:imagedata r:id="rId60" o:title=""/>
              </v:shape>
            </w:pict>
          </mc:Fallback>
        </mc:AlternateContent>
      </w:r>
      <w:r>
        <w:rPr>
          <w:rFonts w:hint="default" w:ascii="Times New Roman" w:hAnsi="Times New Roman" w:cs="Times New Roman"/>
          <w:color w:val="auto"/>
          <w:sz w:val="18"/>
          <w:szCs w:val="18"/>
          <w:highlight w:val="none"/>
        </w:rPr>
        <w:t xml:space="preserve">单位</w:t>
      </w:r>
      <w:r>
        <w:rPr>
          <w:rFonts w:hint="eastAsia" w:ascii="Times New Roman" w:cs="Times New Roman"/>
          <w:color w:val="auto"/>
          <w:sz w:val="18"/>
          <w:szCs w:val="18"/>
          <w:highlight w:val="none"/>
          <w:lang w:eastAsia="zh-CN"/>
        </w:rPr>
        <w:t xml:space="preserve">：</w:t>
      </w:r>
      <w:r>
        <w:rPr>
          <w:rFonts w:hint="default" w:ascii="Times New Roman" w:hAnsi="Times New Roman" w:cs="Times New Roman"/>
          <w:color w:val="auto"/>
          <w:sz w:val="18"/>
          <w:szCs w:val="18"/>
          <w:highlight w:val="none"/>
        </w:rPr>
        <w:t xml:space="preserve">毫米</w: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图C.5  框架内包装及固定框主要尺寸</w:t>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ind w:left="4305"/>
        <w:jc w:val="both"/>
        <w:keepNext w:val="0"/>
        <w:spacing w:after="200"/>
        <w:rPr>
          <w:rFonts w:hint="default" w:ascii="Times New Roman" w:hAnsi="Times New Roman" w:cs="Times New Roman"/>
          <w:color w:val="auto"/>
          <w:highlight w:val="none"/>
        </w:rPr>
      </w:pPr>
      <w:r/>
      <w:bookmarkStart w:id="834" w:name="_Toc159"/>
      <w:r/>
      <w:bookmarkEnd w:id="834"/>
      <w:r/>
      <w:bookmarkStart w:id="835" w:name="_Toc49033526"/>
      <w:r/>
      <w:bookmarkEnd w:id="835"/>
      <w:r/>
      <w:bookmarkStart w:id="836" w:name="_Toc49120551"/>
      <w:r/>
      <w:bookmarkEnd w:id="836"/>
      <w:r/>
      <w:bookmarkStart w:id="837" w:name="_Toc49032434"/>
      <w:r/>
      <w:bookmarkEnd w:id="837"/>
      <w:r/>
      <w:bookmarkStart w:id="838" w:name="_Toc418769823"/>
      <w:r/>
      <w:bookmarkEnd w:id="838"/>
      <w:r/>
      <w:bookmarkStart w:id="839" w:name="_Toc16747"/>
      <w:r/>
      <w:bookmarkEnd w:id="839"/>
      <w:r/>
      <w:bookmarkStart w:id="840" w:name="_Toc49092048"/>
      <w:r/>
      <w:bookmarkEnd w:id="840"/>
      <w:r/>
      <w:r/>
    </w:p>
    <w:p>
      <w:pPr>
        <w:jc w:val="center"/>
        <w:rPr>
          <w:rFonts w:hint="default" w:ascii="Times New Roman" w:hAnsi="Times New Roman" w:eastAsia="黑体" w:cs="Times New Roman"/>
          <w:color w:val="auto"/>
          <w:szCs w:val="24"/>
          <w:highlight w:val="none"/>
        </w:rPr>
      </w:pPr>
      <w:r/>
      <w:bookmarkStart w:id="841" w:name="_Toc18158"/>
      <w:r/>
      <w:bookmarkStart w:id="842" w:name="_Toc11862"/>
      <w:r/>
      <w:bookmarkStart w:id="843" w:name="_Toc418769824"/>
      <w:r>
        <w:rPr>
          <w:rFonts w:hint="default" w:ascii="Times New Roman" w:hAnsi="Times New Roman" w:eastAsia="黑体" w:cs="Times New Roman"/>
          <w:color w:val="auto"/>
          <w:szCs w:val="24"/>
          <w:highlight w:val="none"/>
        </w:rPr>
        <w:t xml:space="preserve">(规范性附录)</w:t>
      </w:r>
      <w:bookmarkEnd w:id="841"/>
      <w:r/>
      <w:bookmarkEnd w:id="842"/>
      <w:r/>
      <w:bookmarkEnd w:id="843"/>
      <w:r/>
      <w:bookmarkStart w:id="844" w:name="_Toc191462731"/>
      <w:r/>
      <w:bookmarkEnd w:id="844"/>
      <w:r/>
      <w:bookmarkStart w:id="845" w:name="_Toc193103992"/>
      <w:r/>
      <w:bookmarkEnd w:id="845"/>
      <w:r/>
      <w:bookmarkStart w:id="846" w:name="_Toc193103983"/>
      <w:r/>
      <w:bookmarkEnd w:id="846"/>
      <w:r/>
      <w:bookmarkStart w:id="847" w:name="_Toc191462652"/>
      <w:r/>
      <w:bookmarkEnd w:id="847"/>
      <w:r/>
      <w:bookmarkStart w:id="848" w:name="_Toc191462646"/>
      <w:r/>
      <w:bookmarkEnd w:id="848"/>
      <w:r/>
      <w:bookmarkStart w:id="849" w:name="_Toc191462740"/>
      <w:r/>
      <w:bookmarkEnd w:id="849"/>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防雨性能试验方法</w:t>
      </w:r>
      <w:r/>
    </w:p>
    <w:p>
      <w:pPr>
        <w:pStyle w:val="1055"/>
        <w:numPr>
          <w:ilvl w:val="1"/>
          <w:numId w:val="13"/>
        </w:numPr>
        <w:ind w:left="-16"/>
        <w:spacing w:before="156" w:after="156"/>
        <w:rPr>
          <w:rFonts w:hint="default" w:ascii="Times New Roman" w:hAnsi="Times New Roman" w:cs="Times New Roman"/>
          <w:color w:val="auto"/>
          <w:highlight w:val="none"/>
        </w:rPr>
      </w:pPr>
      <w:r/>
      <w:bookmarkStart w:id="850" w:name="_Toc107310987"/>
      <w:r/>
      <w:bookmarkStart w:id="851" w:name="_Toc107310892"/>
      <w:r/>
      <w:bookmarkStart w:id="852" w:name="_Toc168807347"/>
      <w:r/>
      <w:bookmarkStart w:id="853" w:name="_Toc262649488"/>
      <w:r/>
      <w:bookmarkStart w:id="854" w:name="_Toc100566091"/>
      <w:r/>
      <w:bookmarkStart w:id="855" w:name="_Toc71215152"/>
      <w:r/>
      <w:bookmarkStart w:id="856" w:name="_Toc339004758"/>
      <w:r/>
      <w:bookmarkStart w:id="857" w:name="_Toc100566179"/>
      <w:r/>
      <w:bookmarkStart w:id="858" w:name="_Toc215895993"/>
      <w:r/>
      <w:bookmarkStart w:id="859" w:name="_Toc215389948"/>
      <w:r/>
      <w:bookmarkStart w:id="860" w:name="_Toc264068414"/>
      <w:r/>
      <w:bookmarkStart w:id="861" w:name="_Toc106683775"/>
      <w:r/>
      <w:bookmarkStart w:id="862" w:name="_Toc168807176"/>
      <w:r/>
      <w:bookmarkStart w:id="863" w:name="_Toc215389831"/>
      <w:r/>
      <w:bookmarkStart w:id="864" w:name="_Toc9883"/>
      <w:r/>
      <w:bookmarkStart w:id="865" w:name="_Toc418769825"/>
      <w:r/>
      <w:bookmarkStart w:id="866" w:name="_Toc216083921"/>
      <w:r/>
      <w:bookmarkStart w:id="867" w:name="_Toc197143698"/>
      <w:r/>
      <w:bookmarkStart w:id="868" w:name="_Toc106683296"/>
      <w:r/>
      <w:bookmarkStart w:id="869" w:name="_Toc233528663"/>
      <w:r/>
      <w:bookmarkStart w:id="870" w:name="_Toc216084513"/>
      <w:r/>
      <w:bookmarkStart w:id="871" w:name="_Toc168807241"/>
      <w:r/>
      <w:bookmarkStart w:id="872" w:name="_Toc71215275"/>
      <w:r/>
      <w:bookmarkStart w:id="873" w:name="_Toc215389505"/>
      <w:r/>
      <w:bookmarkStart w:id="874" w:name="_Toc10654"/>
      <w:r/>
      <w:bookmarkStart w:id="875" w:name="_Toc265100001"/>
      <w:r>
        <w:rPr>
          <w:rFonts w:hint="default" w:ascii="Times New Roman" w:hAnsi="Times New Roman" w:cs="Times New Roman"/>
          <w:color w:val="auto"/>
          <w:highlight w:val="none"/>
        </w:rPr>
        <w:t xml:space="preserve">防雨性能要求</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
    </w:p>
    <w:p>
      <w:pPr>
        <w:pStyle w:val="1057"/>
        <w:numPr>
          <w:ilvl w:val="2"/>
          <w:numId w:val="13"/>
        </w:numPr>
        <w:ind w:left="0"/>
        <w:rPr>
          <w:rFonts w:hint="default" w:ascii="Times New Roman" w:hAnsi="Times New Roman" w:eastAsia="宋体" w:cs="Times New Roman"/>
          <w:color w:val="auto"/>
          <w:highlight w:val="none"/>
        </w:rPr>
      </w:pPr>
      <w:r/>
      <w:bookmarkStart w:id="876" w:name="_Hlt71215319"/>
      <w:r/>
      <w:bookmarkEnd w:id="876"/>
      <w:r/>
      <w:bookmarkStart w:id="877" w:name="_Toc106683776"/>
      <w:r/>
      <w:bookmarkStart w:id="878" w:name="_Toc216083922"/>
      <w:r/>
      <w:bookmarkStart w:id="879" w:name="_Toc168807348"/>
      <w:r/>
      <w:bookmarkStart w:id="880" w:name="_Toc215895994"/>
      <w:r/>
      <w:bookmarkStart w:id="881" w:name="_Toc264068415"/>
      <w:r/>
      <w:bookmarkStart w:id="882" w:name="_Toc215389832"/>
      <w:r/>
      <w:bookmarkStart w:id="883" w:name="_Toc100566180"/>
      <w:r/>
      <w:bookmarkStart w:id="884" w:name="_Toc197143699"/>
      <w:r/>
      <w:bookmarkStart w:id="885" w:name="_Toc265100002"/>
      <w:r/>
      <w:bookmarkStart w:id="886" w:name="_Toc233528664"/>
      <w:r/>
      <w:bookmarkStart w:id="887" w:name="_Toc216084514"/>
      <w:r/>
      <w:bookmarkStart w:id="888" w:name="_Toc215389506"/>
      <w:r/>
      <w:bookmarkStart w:id="889" w:name="_Toc215389949"/>
      <w:r/>
      <w:bookmarkStart w:id="890" w:name="_Toc107310988"/>
      <w:r/>
      <w:bookmarkStart w:id="891" w:name="_Toc339004759"/>
      <w:r/>
      <w:bookmarkStart w:id="892" w:name="_Toc262649489"/>
      <w:r/>
      <w:bookmarkStart w:id="893" w:name="_Toc100566182"/>
      <w:r/>
      <w:bookmarkStart w:id="894" w:name="_Toc168807177"/>
      <w:r/>
      <w:bookmarkStart w:id="895" w:name="_Toc106683778"/>
      <w:r/>
      <w:bookmarkStart w:id="896" w:name="_Toc215389508"/>
      <w:r/>
      <w:bookmarkStart w:id="897" w:name="_Toc215895996"/>
      <w:r/>
      <w:bookmarkStart w:id="898" w:name="_Toc168807350"/>
      <w:r/>
      <w:bookmarkStart w:id="899" w:name="_Toc262649491"/>
      <w:r/>
      <w:bookmarkStart w:id="900" w:name="_Toc216084516"/>
      <w:r/>
      <w:bookmarkStart w:id="901" w:name="_Toc71215276"/>
      <w:r/>
      <w:bookmarkStart w:id="902" w:name="_Toc100566092"/>
      <w:r/>
      <w:bookmarkStart w:id="903" w:name="_Toc71215153"/>
      <w:r/>
      <w:bookmarkStart w:id="904" w:name="_Toc264068417"/>
      <w:r/>
      <w:bookmarkStart w:id="905" w:name="_Toc339004761"/>
      <w:r/>
      <w:bookmarkStart w:id="906" w:name="_Toc265100004"/>
      <w:r/>
      <w:bookmarkStart w:id="907" w:name="_Toc233528666"/>
      <w:r/>
      <w:bookmarkStart w:id="908" w:name="_Toc197143701"/>
      <w:r/>
      <w:bookmarkStart w:id="909" w:name="_Toc106683297"/>
      <w:r/>
      <w:bookmarkStart w:id="910" w:name="_Toc215389951"/>
      <w:r/>
      <w:bookmarkStart w:id="911" w:name="_Toc418769826"/>
      <w:r/>
      <w:bookmarkStart w:id="912" w:name="_Toc216083924"/>
      <w:r/>
      <w:bookmarkStart w:id="913" w:name="_Toc168807242"/>
      <w:r/>
      <w:bookmarkStart w:id="914" w:name="_Toc107310990"/>
      <w:r/>
      <w:bookmarkStart w:id="915" w:name="_Toc107310893"/>
      <w:r/>
      <w:bookmarkStart w:id="916" w:name="_Toc22275"/>
      <w:r/>
      <w:bookmarkStart w:id="917" w:name="_Toc215389834"/>
      <w:r/>
      <w:bookmarkStart w:id="918" w:name="_Toc20057"/>
      <w:r>
        <w:rPr>
          <w:rFonts w:hint="default" w:ascii="Times New Roman" w:hAnsi="Times New Roman" w:eastAsia="宋体" w:cs="Times New Roman"/>
          <w:color w:val="auto"/>
          <w:highlight w:val="none"/>
        </w:rPr>
        <w:t xml:space="preserve">篷体四个角用拉绳拉紧，使篷顶部位平展后再进行喷淋试验。</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r/>
    </w:p>
    <w:p>
      <w:pPr>
        <w:pStyle w:val="1057"/>
        <w:numPr>
          <w:ilvl w:val="2"/>
          <w:numId w:val="13"/>
        </w:numPr>
        <w:ind w:left="0"/>
        <w:rPr>
          <w:rFonts w:hint="default" w:ascii="Times New Roman" w:hAnsi="Times New Roman" w:eastAsia="宋体" w:cs="Times New Roman"/>
          <w:color w:val="auto"/>
          <w:highlight w:val="none"/>
        </w:rPr>
      </w:pPr>
      <w:r/>
      <w:bookmarkStart w:id="919" w:name="_Toc107310989"/>
      <w:r/>
      <w:bookmarkStart w:id="920" w:name="_Toc265100003"/>
      <w:r/>
      <w:bookmarkStart w:id="921" w:name="_Toc197143700"/>
      <w:r/>
      <w:bookmarkStart w:id="922" w:name="_Toc264068416"/>
      <w:r/>
      <w:bookmarkStart w:id="923" w:name="_Toc339004760"/>
      <w:r/>
      <w:bookmarkStart w:id="924" w:name="_Toc216084515"/>
      <w:r/>
      <w:bookmarkStart w:id="925" w:name="_Toc215389950"/>
      <w:r/>
      <w:bookmarkStart w:id="926" w:name="_Toc233528665"/>
      <w:r/>
      <w:bookmarkStart w:id="927" w:name="_Toc106683777"/>
      <w:r/>
      <w:bookmarkStart w:id="928" w:name="_Toc262649490"/>
      <w:r/>
      <w:bookmarkStart w:id="929" w:name="_Toc216083923"/>
      <w:r/>
      <w:bookmarkStart w:id="930" w:name="_Toc215895995"/>
      <w:r/>
      <w:bookmarkStart w:id="931" w:name="_Toc100566181"/>
      <w:r/>
      <w:bookmarkStart w:id="932" w:name="_Toc215389833"/>
      <w:r/>
      <w:bookmarkStart w:id="933" w:name="_Toc168807349"/>
      <w:r/>
      <w:bookmarkStart w:id="934" w:name="_Toc215389507"/>
      <w:r>
        <w:rPr>
          <w:rFonts w:hint="default" w:ascii="Times New Roman" w:hAnsi="Times New Roman" w:eastAsia="宋体" w:cs="Times New Roman"/>
          <w:color w:val="auto"/>
          <w:highlight w:val="none"/>
        </w:rPr>
        <w:t xml:space="preserve">按图D.1测试，30 min篷顶及篷顶与侧墙缝合部位无渗水现象。</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
    </w:p>
    <w:p>
      <w:pPr>
        <w:pStyle w:val="1055"/>
        <w:numPr>
          <w:ilvl w:val="1"/>
          <w:numId w:val="13"/>
        </w:numPr>
        <w:ind w:left="-4"/>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防雨试验</w:t>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将帐篷支撑，使帐篷完全处于受力状态后，按图D.1实施人工降雨测试，试验条件如下：</w:t>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a）喷水管道设水泵1个；</w:t>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b）喷水管道设水量调节阀1个；</w:t>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c）喷头间距1m，喷淋面积可均匀覆盖整个帐篷；</w:t>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d）喷头与帐篷顶间距大于0.8m；</w:t>
      </w:r>
      <w:r/>
    </w:p>
    <w:p>
      <w:pPr>
        <w:pStyle w:val="1044"/>
        <w:ind w:left="840" w:hanging="42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e）每个喷头喷水量不小于40升/30分钟。</w:t>
      </w:r>
      <w:r/>
    </w:p>
    <w:p>
      <w:pPr>
        <w:pStyle w:val="1044"/>
        <w:ind w:firstLine="407"/>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407"/>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g">
            <w:drawing>
              <wp:anchor xmlns:wp="http://schemas.openxmlformats.org/drawingml/2006/wordprocessingDrawing" xmlns:wp14="http://schemas.microsoft.com/office/word/2010/wordprocessingDrawing" distT="0" distB="0" distL="115200" distR="115200" simplePos="0" relativeHeight="251739136" behindDoc="0" locked="0" layoutInCell="1" allowOverlap="1">
                <wp:simplePos x="0" y="0"/>
                <wp:positionH relativeFrom="column">
                  <wp:posOffset>258445</wp:posOffset>
                </wp:positionH>
                <wp:positionV relativeFrom="paragraph">
                  <wp:posOffset>0</wp:posOffset>
                </wp:positionV>
                <wp:extent cx="4773295" cy="3726180"/>
                <wp:effectExtent l="0" t="0" r="1905" b="7620"/>
                <wp:wrapTopAndBottom/>
                <wp:docPr id="38" name="图片 9" descr="65566a8dac1ba70a5476ca97af564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 descr="65566a8dac1ba70a5476ca97af564c8"/>
                        <pic:cNvPicPr>
                          <a:picLocks noChangeAspect="1"/>
                        </pic:cNvPicPr>
                        <pic:nvPr/>
                      </pic:nvPicPr>
                      <pic:blipFill>
                        <a:blip r:embed="rId61"/>
                        <a:stretch/>
                      </pic:blipFill>
                      <pic:spPr bwMode="auto">
                        <a:xfrm>
                          <a:off x="0" y="0"/>
                          <a:ext cx="4773295" cy="3726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9136;o:allowoverlap:true;o:allowincell:true;mso-position-horizontal-relative:text;margin-left:20.3pt;mso-position-horizontal:absolute;mso-position-vertical-relative:text;margin-top:0.0pt;mso-position-vertical:absolute;width:375.8pt;height:293.4pt;mso-wrap-distance-left:9.1pt;mso-wrap-distance-top:0.0pt;mso-wrap-distance-right:9.1pt;mso-wrap-distance-bottom:0.0pt;" stroked="f">
                <v:path textboxrect="0,0,0,0"/>
                <w10:wrap type="topAndBottom"/>
                <v:imagedata r:id="rId61" o:title=""/>
              </v:shape>
            </w:pict>
          </mc:Fallback>
        </mc:AlternateContent>
      </w:r>
      <w:r/>
    </w:p>
    <w:p>
      <w:pPr>
        <w:pStyle w:val="1044"/>
        <w:ind w:firstLine="407"/>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图D.1  防雨性能试验示意图</w:t>
      </w:r>
      <w:r/>
    </w:p>
    <w:p>
      <w:pPr>
        <w:pStyle w:val="1044"/>
        <w:ind w:firstLine="0"/>
        <w:rPr>
          <w:rFonts w:hint="default" w:ascii="Times New Roman" w:hAnsi="Times New Roman" w:eastAsia="黑体" w:cs="Times New Roman"/>
          <w:b/>
          <w:bCs/>
          <w:color w:val="auto"/>
          <w:highlight w:val="none"/>
        </w:rPr>
      </w:pPr>
      <w:r>
        <w:rPr>
          <w:rFonts w:hint="default" w:ascii="Times New Roman" w:hAnsi="Times New Roman" w:eastAsia="黑体" w:cs="Times New Roman"/>
          <w:b/>
          <w:bCs/>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ind w:left="0"/>
        <w:keepNext w:val="0"/>
        <w:spacing w:after="200"/>
        <w:rPr>
          <w:rFonts w:hint="default" w:ascii="Times New Roman" w:hAnsi="Times New Roman" w:cs="Times New Roman"/>
          <w:color w:val="auto"/>
          <w:highlight w:val="none"/>
        </w:rPr>
      </w:pPr>
      <w:r/>
      <w:bookmarkStart w:id="935" w:name="_Toc418769827"/>
      <w:r/>
      <w:bookmarkEnd w:id="935"/>
      <w:r/>
      <w:bookmarkStart w:id="936" w:name="_Toc191462751"/>
      <w:r/>
      <w:bookmarkEnd w:id="936"/>
      <w:r/>
      <w:bookmarkStart w:id="937" w:name="_Toc339004762"/>
      <w:r/>
      <w:bookmarkEnd w:id="937"/>
      <w:r/>
      <w:bookmarkStart w:id="938" w:name="_Toc193104006"/>
      <w:r/>
      <w:bookmarkEnd w:id="938"/>
      <w:r/>
      <w:bookmarkStart w:id="939" w:name="_Toc49032435"/>
      <w:r/>
      <w:bookmarkEnd w:id="939"/>
      <w:r/>
      <w:bookmarkStart w:id="940" w:name="_Toc49033527"/>
      <w:r/>
      <w:bookmarkEnd w:id="940"/>
      <w:r/>
      <w:bookmarkStart w:id="941" w:name="_Toc49092049"/>
      <w:r/>
      <w:bookmarkEnd w:id="941"/>
      <w:r/>
      <w:bookmarkStart w:id="942" w:name="_Toc191462660"/>
      <w:r/>
      <w:bookmarkEnd w:id="942"/>
      <w:r/>
      <w:bookmarkStart w:id="943" w:name="_Toc30241"/>
      <w:r/>
      <w:bookmarkEnd w:id="943"/>
      <w:r/>
      <w:bookmarkStart w:id="944" w:name="_Toc49120552"/>
      <w:r/>
      <w:bookmarkEnd w:id="944"/>
      <w:r/>
      <w:bookmarkStart w:id="945" w:name="_Toc1321"/>
      <w:r/>
      <w:bookmarkEnd w:id="945"/>
      <w:r/>
      <w:r/>
    </w:p>
    <w:p>
      <w:pPr>
        <w:jc w:val="center"/>
        <w:rPr>
          <w:rFonts w:hint="default" w:ascii="Times New Roman" w:hAnsi="Times New Roman" w:eastAsia="黑体" w:cs="Times New Roman"/>
          <w:color w:val="auto"/>
          <w:szCs w:val="24"/>
          <w:highlight w:val="none"/>
        </w:rPr>
      </w:pPr>
      <w:r>
        <w:rPr>
          <w:rFonts w:hint="default" w:ascii="Times New Roman" w:hAnsi="Times New Roman" w:eastAsia="仿宋" w:cs="Times New Roman"/>
          <w:color w:val="auto"/>
          <w:szCs w:val="24"/>
          <w:highlight w:val="none"/>
        </w:rPr>
        <w:t xml:space="preserve"> </w:t>
      </w:r>
      <w:bookmarkStart w:id="946" w:name="_Toc442080664"/>
      <w:r/>
      <w:bookmarkStart w:id="947" w:name="_Toc469234741"/>
      <w:r>
        <w:rPr>
          <w:rFonts w:hint="default" w:ascii="Times New Roman" w:hAnsi="Times New Roman" w:eastAsia="黑体" w:cs="Times New Roman"/>
          <w:color w:val="auto"/>
          <w:szCs w:val="24"/>
          <w:highlight w:val="none"/>
        </w:rPr>
        <w:t xml:space="preserve">（规范性附录</w:t>
      </w:r>
      <w:bookmarkEnd w:id="946"/>
      <w:r>
        <w:rPr>
          <w:rFonts w:hint="default" w:ascii="Times New Roman" w:hAnsi="Times New Roman" w:eastAsia="黑体" w:cs="Times New Roman"/>
          <w:color w:val="auto"/>
          <w:szCs w:val="24"/>
          <w:highlight w:val="none"/>
        </w:rPr>
        <w:t xml:space="preserve">）</w:t>
      </w:r>
      <w:bookmarkEnd w:id="947"/>
      <w:r/>
      <w:r/>
    </w:p>
    <w:p>
      <w:pPr>
        <w:jc w:val="center"/>
        <w:rPr>
          <w:rFonts w:hint="default" w:ascii="Times New Roman" w:hAnsi="Times New Roman" w:eastAsia="黑体" w:cs="Times New Roman"/>
          <w:color w:val="auto"/>
          <w:szCs w:val="24"/>
          <w:highlight w:val="none"/>
        </w:rPr>
      </w:pPr>
      <w:r/>
      <w:bookmarkStart w:id="948" w:name="_Toc469234742"/>
      <w:r>
        <w:rPr>
          <w:rFonts w:hint="default" w:ascii="Times New Roman" w:hAnsi="Times New Roman" w:eastAsia="黑体" w:cs="Times New Roman"/>
          <w:color w:val="auto"/>
          <w:szCs w:val="24"/>
          <w:highlight w:val="none"/>
        </w:rPr>
        <w:t xml:space="preserve">国旗标志技术要求</w:t>
      </w:r>
      <w:bookmarkEnd w:id="948"/>
      <w:r/>
      <w:r/>
    </w:p>
    <w:p>
      <w:pPr>
        <w:jc w:val="left"/>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E.1</w:t>
      </w:r>
      <w:r>
        <w:rPr>
          <w:rFonts w:hint="default" w:ascii="Times New Roman" w:hAnsi="Times New Roman" w:eastAsia="仿宋" w:cs="Times New Roman"/>
          <w:color w:val="auto"/>
          <w:szCs w:val="24"/>
          <w:highlight w:val="none"/>
        </w:rPr>
        <w:t xml:space="preserve">  国旗纸张采用200g/㎡铜板纸，国旗尺寸为长450mm×宽300mm。</w:t>
      </w:r>
      <w:r/>
    </w:p>
    <w:p>
      <w:pPr>
        <w:jc w:val="lef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E.2</w:t>
      </w:r>
      <w:r>
        <w:rPr>
          <w:rFonts w:hint="default" w:ascii="Times New Roman" w:hAnsi="Times New Roman" w:eastAsia="仿宋" w:cs="Times New Roman"/>
          <w:color w:val="auto"/>
          <w:szCs w:val="24"/>
          <w:highlight w:val="none"/>
        </w:rPr>
        <w:t xml:space="preserve">  胶板印刷，连续使用2年以上日光照射下不褪色。</w:t>
      </w:r>
      <w:r/>
    </w:p>
    <w:p>
      <w:pPr>
        <w:jc w:val="lef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E.3</w:t>
      </w:r>
      <w:r>
        <w:rPr>
          <w:rFonts w:hint="default" w:ascii="Times New Roman" w:hAnsi="Times New Roman" w:eastAsia="仿宋" w:cs="Times New Roman"/>
          <w:color w:val="auto"/>
          <w:szCs w:val="24"/>
          <w:highlight w:val="none"/>
        </w:rPr>
        <w:t xml:space="preserve">  将国旗采用塑封方式保障其可靠密封防水。塑封薄膜厚度为15C。塑封国旗后尺寸为长464mm×宽314mm。</w:t>
      </w:r>
      <w:r/>
    </w:p>
    <w:p>
      <w:pPr>
        <w:jc w:val="lef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E.4</w:t>
      </w:r>
      <w:r>
        <w:rPr>
          <w:rFonts w:hint="default" w:ascii="Times New Roman" w:hAnsi="Times New Roman" w:eastAsia="仿宋" w:cs="Times New Roman"/>
          <w:color w:val="auto"/>
          <w:szCs w:val="24"/>
          <w:highlight w:val="none"/>
        </w:rPr>
        <w:t xml:space="preserve">  国旗位置规定。在前山墙“救”字上方，距门上口延长线200mm，距门口390mm处放置国旗插袋一个。在帐篷两侧墙窗口居中位置放国旗插袋各一个。</w:t>
      </w:r>
      <w:r/>
    </w:p>
    <w:p>
      <w:pPr>
        <w:jc w:val="lef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E.5 </w:t>
      </w:r>
      <w:r>
        <w:rPr>
          <w:rFonts w:hint="default" w:ascii="Times New Roman" w:hAnsi="Times New Roman" w:eastAsia="仿宋" w:cs="Times New Roman"/>
          <w:color w:val="auto"/>
          <w:szCs w:val="24"/>
          <w:highlight w:val="none"/>
        </w:rPr>
        <w:t xml:space="preserve"> 塑封好的国旗根据帐篷生产批量配套单独包装，在帐篷展开后再插入国旗插袋中。</w:t>
      </w:r>
      <w:r/>
    </w:p>
    <w:p>
      <w:pPr>
        <w:jc w:val="left"/>
        <w:rPr>
          <w:rFonts w:hint="default" w:ascii="Times New Roman" w:hAnsi="Times New Roman" w:eastAsia="仿宋" w:cs="Times New Roman"/>
          <w:color w:val="auto"/>
          <w:szCs w:val="24"/>
          <w:highlight w:val="none"/>
        </w:rPr>
      </w:pPr>
      <w:r>
        <w:rPr>
          <w:rFonts w:hint="default" w:ascii="Times New Roman" w:hAnsi="Times New Roman" w:eastAsia="黑体" w:cs="Times New Roman"/>
          <w:color w:val="auto"/>
          <w:szCs w:val="24"/>
          <w:highlight w:val="none"/>
        </w:rPr>
        <w:t xml:space="preserve">E.6 </w:t>
      </w:r>
      <w:r>
        <w:rPr>
          <w:rFonts w:hint="default" w:ascii="Times New Roman" w:hAnsi="Times New Roman" w:eastAsia="仿宋" w:cs="Times New Roman"/>
          <w:color w:val="auto"/>
          <w:szCs w:val="24"/>
          <w:highlight w:val="none"/>
        </w:rPr>
        <w:t xml:space="preserve"> 国旗的其它要求应满足GB 12982的要求。主要尺寸见图E.1。（单位为毫米）</w:t>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3039110" cy="2809875"/>
                <wp:effectExtent l="0" t="0" r="8890" b="9525"/>
                <wp:docPr id="39" name="图片 10" descr="国旗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0" descr="国旗1"/>
                        <pic:cNvPicPr>
                          <a:picLocks noChangeAspect="1"/>
                        </pic:cNvPicPr>
                        <pic:nvPr/>
                      </pic:nvPicPr>
                      <pic:blipFill>
                        <a:blip r:embed="rId62"/>
                        <a:stretch/>
                      </pic:blipFill>
                      <pic:spPr bwMode="auto">
                        <a:xfrm>
                          <a:off x="0" y="0"/>
                          <a:ext cx="3039110" cy="280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39.3pt;height:221.2pt;mso-wrap-distance-left:0.0pt;mso-wrap-distance-top:0.0pt;mso-wrap-distance-right:0.0pt;mso-wrap-distance-bottom:0.0pt;" stroked="f">
                <v:path textboxrect="0,0,0,0"/>
                <v:imagedata r:id="rId62" o:title=""/>
              </v:shape>
            </w:pict>
          </mc:Fallback>
        </mc:AlternateContent>
      </w:r>
      <w:r/>
    </w:p>
    <w:p>
      <w:pPr>
        <w:pStyle w:val="104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图E.1  国旗标志主要尺寸</w:t>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ind w:left="0"/>
        <w:keepNext w:val="0"/>
        <w:spacing w:after="200"/>
        <w:rPr>
          <w:rFonts w:hint="default" w:ascii="Times New Roman" w:hAnsi="Times New Roman" w:cs="Times New Roman"/>
          <w:color w:val="auto"/>
          <w:highlight w:val="none"/>
        </w:rPr>
      </w:pPr>
      <w:r/>
      <w:bookmarkStart w:id="949" w:name="_Toc49033528"/>
      <w:r/>
      <w:bookmarkEnd w:id="949"/>
      <w:r/>
      <w:bookmarkStart w:id="950" w:name="_Toc49032436"/>
      <w:r/>
      <w:bookmarkEnd w:id="950"/>
      <w:r/>
      <w:bookmarkStart w:id="951" w:name="_Toc442341977"/>
      <w:r/>
      <w:bookmarkEnd w:id="951"/>
      <w:r/>
      <w:bookmarkStart w:id="952" w:name="_Toc49120553"/>
      <w:r/>
      <w:bookmarkEnd w:id="952"/>
      <w:r/>
      <w:bookmarkStart w:id="953" w:name="_Toc49092050"/>
      <w:r/>
      <w:bookmarkEnd w:id="953"/>
      <w:r/>
      <w:r/>
    </w:p>
    <w:p>
      <w:pPr>
        <w:jc w:val="center"/>
        <w:rPr>
          <w:rFonts w:hint="default" w:ascii="Times New Roman" w:hAnsi="Times New Roman" w:eastAsia="黑体" w:cs="Times New Roman"/>
          <w:color w:val="auto"/>
          <w:szCs w:val="24"/>
          <w:highlight w:val="none"/>
        </w:rPr>
      </w:pPr>
      <w:r/>
      <w:bookmarkStart w:id="954" w:name="_Toc469234744"/>
      <w:r>
        <w:rPr>
          <w:rFonts w:hint="default" w:ascii="Times New Roman" w:hAnsi="Times New Roman" w:eastAsia="黑体" w:cs="Times New Roman"/>
          <w:color w:val="auto"/>
          <w:szCs w:val="24"/>
          <w:highlight w:val="none"/>
        </w:rPr>
        <w:t xml:space="preserve">（规范性附录）</w:t>
      </w:r>
      <w:r>
        <w:rPr>
          <w:rFonts w:hint="default" w:ascii="Times New Roman" w:hAnsi="Times New Roman" w:eastAsia="黑体" w:cs="Times New Roman"/>
          <w:color w:val="auto"/>
          <w:szCs w:val="24"/>
          <w:highlight w:val="none"/>
        </w:rPr>
        <w:br/>
      </w:r>
      <w:r>
        <w:rPr>
          <w:rFonts w:hint="default" w:ascii="Times New Roman" w:hAnsi="Times New Roman" w:eastAsia="黑体" w:cs="Times New Roman"/>
          <w:color w:val="auto"/>
          <w:szCs w:val="24"/>
          <w:highlight w:val="none"/>
        </w:rPr>
        <w:t xml:space="preserve">“中国 CHINA”标志技术要求</w:t>
      </w:r>
      <w:bookmarkEnd w:id="954"/>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r>
      <w:r/>
    </w:p>
    <w:p>
      <w:pPr>
        <w:ind w:firstLine="420"/>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“中国 CHINA”标志，放在帐篷有门山墙的门上方中间位置。印字为白色平头标准黑体字，印刷字迹清晰、工整、布局合理。尺寸位置见图F.1。（单位为毫米）</w:t>
      </w:r>
      <w:r/>
    </w:p>
    <w:p>
      <w:pPr>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5725795" cy="4485005"/>
                <wp:effectExtent l="0" t="0" r="1905" b="10795"/>
                <wp:docPr id="40" name="图片 11" descr="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descr="02(1)(1)"/>
                        <pic:cNvPicPr>
                          <a:picLocks noChangeAspect="1"/>
                        </pic:cNvPicPr>
                        <pic:nvPr/>
                      </pic:nvPicPr>
                      <pic:blipFill>
                        <a:blip r:embed="rId63"/>
                        <a:stretch/>
                      </pic:blipFill>
                      <pic:spPr bwMode="auto">
                        <a:xfrm>
                          <a:off x="0" y="0"/>
                          <a:ext cx="5725795" cy="4485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50.8pt;height:353.1pt;mso-wrap-distance-left:0.0pt;mso-wrap-distance-top:0.0pt;mso-wrap-distance-right:0.0pt;mso-wrap-distance-bottom:0.0pt;" stroked="f">
                <v:path textboxrect="0,0,0,0"/>
                <v:imagedata r:id="rId63" o:title=""/>
              </v:shape>
            </w:pict>
          </mc:Fallback>
        </mc:AlternateContent>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图F.1 “中国 CHINA”标志示意图</w:t>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jc w:val="left"/>
        <w:keepNext w:val="0"/>
        <w:spacing w:after="200"/>
        <w:rPr>
          <w:rFonts w:hint="default" w:ascii="Times New Roman" w:hAnsi="Times New Roman" w:cs="Times New Roman"/>
          <w:color w:val="auto"/>
          <w:highlight w:val="none"/>
        </w:rPr>
      </w:pPr>
      <w:r/>
      <w:bookmarkStart w:id="955" w:name="_Toc49120554"/>
      <w:r/>
      <w:bookmarkEnd w:id="955"/>
      <w:r/>
      <w:bookmarkStart w:id="956" w:name="_Toc49033529"/>
      <w:r/>
      <w:bookmarkEnd w:id="956"/>
      <w:r/>
      <w:bookmarkStart w:id="957" w:name="_Toc49092051"/>
      <w:r/>
      <w:bookmarkEnd w:id="957"/>
      <w:r/>
      <w:bookmarkStart w:id="958" w:name="_Toc49032437"/>
      <w:r/>
      <w:bookmarkEnd w:id="958"/>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    （规范性附录）</w:t>
      </w:r>
      <w:r/>
    </w:p>
    <w:p>
      <w:pPr>
        <w:pStyle w:val="1044"/>
        <w:ind w:firstLine="3979"/>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水洗标及二维码</w:t>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firstLine="420"/>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G．1 篷体水洗标位于开门山墙里结构右侧门框距地1500mm，尺寸约为130mm×100mm，样式见图G.1, 位置见附录A中图A.6,空白水洗标应选用耐磨，防水材质，并能够与二维码材质强力粘合。二维条码于包装前紧贴于空白水洗标居中位置。</w:t>
      </w:r>
      <w:r/>
    </w:p>
    <w:p>
      <w:pPr>
        <w:ind w:firstLine="420"/>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G．2外包装袋两端面码垛标志旁粘贴二维条码不干胶，位置见图G.2。</w:t>
      </w:r>
      <w:r/>
    </w:p>
    <w:p>
      <w:pPr>
        <w:ind w:firstLine="420"/>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G．3 二维条码采用热敏不干胶10年纸，保证持久耐用。</w:t>
      </w:r>
      <w:r/>
    </w:p>
    <w:p>
      <w:pPr>
        <w:ind w:firstLine="420"/>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单位</w:t>
      </w:r>
      <w:r>
        <w:rPr>
          <w:rFonts w:hint="eastAsia" w:ascii="Times New Roman" w:hAnsi="Times New Roman" w:eastAsia="仿宋" w:cs="Times New Roman"/>
          <w:color w:val="auto"/>
          <w:szCs w:val="24"/>
          <w:highlight w:val="none"/>
          <w:lang w:eastAsia="zh-CN"/>
        </w:rPr>
        <w:t xml:space="preserve">：</w:t>
      </w:r>
      <w:r>
        <w:rPr>
          <w:rFonts w:hint="default" w:ascii="Times New Roman" w:hAnsi="Times New Roman" w:eastAsia="仿宋" w:cs="Times New Roman"/>
          <w:color w:val="auto"/>
          <w:szCs w:val="24"/>
          <w:highlight w:val="none"/>
        </w:rPr>
        <w:t xml:space="preserve">毫米</w:t>
      </w:r>
      <w:r/>
    </w:p>
    <w:p>
      <w:pPr>
        <w:pStyle w:val="1044"/>
        <w:ind w:firstLine="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mc:AlternateContent>
          <mc:Choice Requires="wpg">
            <w:drawing>
              <wp:inline xmlns:wp="http://schemas.openxmlformats.org/drawingml/2006/wordprocessingDrawing" distT="0" distB="0" distL="0" distR="0">
                <wp:extent cx="5419725" cy="3142615"/>
                <wp:effectExtent l="0" t="0" r="3175" b="6985"/>
                <wp:docPr id="41" name="图片 12" descr="87bf7b7a04559fa955e2db5772047f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descr="87bf7b7a04559fa955e2db5772047f0e"/>
                        <pic:cNvPicPr>
                          <a:picLocks noChangeAspect="1"/>
                        </pic:cNvPicPr>
                        <pic:nvPr/>
                      </pic:nvPicPr>
                      <pic:blipFill>
                        <a:blip r:embed="rId64"/>
                        <a:srcRect l="0" t="0" r="0" b="2766"/>
                        <a:stretch/>
                      </pic:blipFill>
                      <pic:spPr bwMode="auto">
                        <a:xfrm>
                          <a:off x="0" y="0"/>
                          <a:ext cx="5419725" cy="3142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26.8pt;height:247.4pt;mso-wrap-distance-left:0.0pt;mso-wrap-distance-top:0.0pt;mso-wrap-distance-right:0.0pt;mso-wrap-distance-bottom:0.0pt;" stroked="f">
                <v:path textboxrect="0,0,0,0"/>
                <v:imagedata r:id="rId64" o:title=""/>
              </v:shape>
            </w:pict>
          </mc:Fallback>
        </mc:AlternateContent>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图G.1 水洗标样式</w:t>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4335145</wp:posOffset>
                </wp:positionH>
                <wp:positionV relativeFrom="paragraph">
                  <wp:posOffset>361315</wp:posOffset>
                </wp:positionV>
                <wp:extent cx="1713230" cy="1276985"/>
                <wp:effectExtent l="0" t="0" r="1270" b="5715"/>
                <wp:wrapNone/>
                <wp:docPr id="42" name="图片 186" descr="C:\Users\fydnkj11\Documents\Tencent Files\289182985\Image\C2C\1_C2Z{TNE11~GYY8X@0)A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86" descr="C:\Users\fydnkj11\Documents\Tencent Files\289182985\Image\C2C\1_C2Z{TNE11~GYY8X@0)A_8.png"/>
                        <pic:cNvPicPr>
                          <a:picLocks noChangeAspect="1"/>
                        </pic:cNvPicPr>
                        <pic:nvPr/>
                      </pic:nvPicPr>
                      <pic:blipFill>
                        <a:blip r:embed="rId65"/>
                        <a:stretch/>
                      </pic:blipFill>
                      <pic:spPr bwMode="auto">
                        <a:xfrm>
                          <a:off x="0" y="0"/>
                          <a:ext cx="1713230" cy="1276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97152;o:allowoverlap:true;o:allowincell:true;mso-position-horizontal-relative:text;margin-left:341.3pt;mso-position-horizontal:absolute;mso-position-vertical-relative:text;margin-top:28.4pt;mso-position-vertical:absolute;width:134.9pt;height:100.5pt;mso-wrap-distance-left:9.0pt;mso-wrap-distance-top:0.0pt;mso-wrap-distance-right:9.0pt;mso-wrap-distance-bottom:0.0pt;" stroked="f">
                <v:path textboxrect="0,0,0,0"/>
                <v:imagedata r:id="rId65" o:title=""/>
              </v:shape>
            </w:pict>
          </mc:Fallback>
        </mc:AlternateContent>
      </w:r>
      <w:r>
        <w:rPr>
          <w:rFonts w:hint="default" w:ascii="Times New Roman" w:hAnsi="Times New Roman" w:cs="Times New Roman"/>
          <w:color w:val="auto"/>
          <w:szCs w:val="24"/>
          <w:highlight w:val="none"/>
        </w:rPr>
        <mc:AlternateContent>
          <mc:Choice Requires="wpg">
            <w:drawing>
              <wp:inline xmlns:wp="http://schemas.openxmlformats.org/drawingml/2006/wordprocessingDrawing" distT="0" distB="0" distL="0" distR="0">
                <wp:extent cx="4271010" cy="1788160"/>
                <wp:effectExtent l="0" t="0" r="8890" b="2540"/>
                <wp:docPr id="43" name="图片 13" descr="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0001(1)"/>
                        <pic:cNvPicPr>
                          <a:picLocks noChangeAspect="1"/>
                        </pic:cNvPicPr>
                        <pic:nvPr/>
                      </pic:nvPicPr>
                      <pic:blipFill>
                        <a:blip r:embed="rId66"/>
                        <a:srcRect l="5421" t="3149" r="7072" b="51854"/>
                        <a:stretch/>
                      </pic:blipFill>
                      <pic:spPr bwMode="auto">
                        <a:xfrm>
                          <a:off x="0" y="0"/>
                          <a:ext cx="4271010" cy="178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336.3pt;height:140.8pt;mso-wrap-distance-left:0.0pt;mso-wrap-distance-top:0.0pt;mso-wrap-distance-right:0.0pt;mso-wrap-distance-bottom:0.0pt;" stroked="f">
                <v:path textboxrect="0,0,0,0"/>
                <v:imagedata r:id="rId66" o:title=""/>
              </v:shape>
            </w:pict>
          </mc:Fallback>
        </mc:AlternateContent>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图G.2 外包装袋二维码位置</w:t>
      </w:r>
      <w:r/>
    </w:p>
    <w:p>
      <w:pPr>
        <w:pStyle w:val="1044"/>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hd w:val="nil" w:color="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rPr>
          <w:rFonts w:hint="default" w:ascii="Times New Roman" w:hAnsi="Times New Roman" w:cs="Times New Roman"/>
          <w:color w:val="auto"/>
          <w:highlight w:val="none"/>
        </w:rPr>
      </w:r>
      <w:r/>
    </w:p>
    <w:p>
      <w:pPr>
        <w:pStyle w:val="1054"/>
        <w:numPr>
          <w:ilvl w:val="0"/>
          <w:numId w:val="13"/>
        </w:numPr>
        <w:ind w:left="0"/>
        <w:keepNext w:val="0"/>
        <w:spacing w:after="200"/>
        <w:rPr>
          <w:rFonts w:hint="default" w:ascii="Times New Roman" w:hAnsi="Times New Roman" w:cs="Times New Roman"/>
          <w:color w:val="auto"/>
          <w:highlight w:val="none"/>
        </w:rPr>
      </w:pPr>
      <w:r/>
      <w:bookmarkStart w:id="959" w:name="_Toc49032438"/>
      <w:r/>
      <w:bookmarkEnd w:id="959"/>
      <w:r/>
      <w:bookmarkStart w:id="960" w:name="_Toc49033530"/>
      <w:r/>
      <w:bookmarkEnd w:id="960"/>
      <w:r/>
      <w:bookmarkStart w:id="961" w:name="_Toc49092052"/>
      <w:r/>
      <w:bookmarkEnd w:id="961"/>
      <w:r/>
      <w:bookmarkStart w:id="962" w:name="_Toc49120555"/>
      <w:r/>
      <w:bookmarkEnd w:id="962"/>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（规范性附录）</w:t>
      </w:r>
      <w:r/>
    </w:p>
    <w:p>
      <w:pPr>
        <w:pStyle w:val="1044"/>
        <w:ind w:firstLine="199"/>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产品包装单</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40"/>
        <w:gridCol w:w="986"/>
        <w:gridCol w:w="1420"/>
        <w:gridCol w:w="833"/>
        <w:gridCol w:w="715"/>
        <w:gridCol w:w="715"/>
        <w:gridCol w:w="1026"/>
        <w:gridCol w:w="2921"/>
      </w:tblGrid>
      <w:tr>
        <w:trPr>
          <w:jc w:val="center"/>
          <w:trHeight w:val="402"/>
        </w:trPr>
        <w:tc>
          <w:tcPr>
            <w:gridSpan w:val="2"/>
            <w:tcW w:w="879"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类别</w:t>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名称</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单位</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数量</w:t>
            </w:r>
            <w:r/>
          </w:p>
        </w:tc>
        <w:tc>
          <w:tcPr>
            <w:tcW w:w="554"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质量(kg)</w:t>
            </w:r>
            <w:r/>
          </w:p>
        </w:tc>
        <w:tc>
          <w:tcPr>
            <w:tcW w:w="1578"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包装标志</w:t>
            </w:r>
            <w:r/>
          </w:p>
        </w:tc>
      </w:tr>
      <w:tr>
        <w:trPr>
          <w:cantSplit/>
          <w:jc w:val="center"/>
          <w:trHeight w:val="358"/>
        </w:trPr>
        <w:tc>
          <w:tcPr>
            <w:tcBorders>
              <w:right w:val="single" w:color="auto" w:sz="4" w:space="0"/>
            </w:tcBorders>
            <w:tcW w:w="346"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一</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体</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化</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包</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装</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篷体部分</w:t>
            </w:r>
            <w:r/>
          </w:p>
        </w:tc>
        <w:tc>
          <w:tcPr>
            <w:gridSpan w:val="2"/>
            <w:tcBorders>
              <w:bottom w:val="single" w:color="auto" w:sz="4" w:space="0"/>
            </w:tcBorders>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篷体</w:t>
            </w:r>
            <w:r/>
          </w:p>
        </w:tc>
        <w:tc>
          <w:tcPr>
            <w:tcBorders>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件</w:t>
            </w:r>
            <w:r/>
          </w:p>
        </w:tc>
        <w:tc>
          <w:tcPr>
            <w:tcBorders>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w:t>
            </w:r>
            <w:r/>
          </w:p>
        </w:tc>
        <w:tc>
          <w:tcPr>
            <w:tcW w:w="1578" w:type="pct"/>
            <w:vAlign w:val="center"/>
            <w:vMerge w:val="restart"/>
            <w:textDirection w:val="lrTb"/>
            <w:noWrap w:val="false"/>
          </w:tcPr>
          <w:p>
            <w:pPr>
              <w:pStyle w:val="1044"/>
              <w:ind w:firstLine="0"/>
              <w:jc w:val="center"/>
              <w:rPr>
                <w:rFonts w:hint="default" w:ascii="Times New Roman" w:hAnsi="Times New Roman" w:eastAsia="黑体" w:cs="Times New Roman"/>
                <w:color w:val="auto"/>
                <w:sz w:val="18"/>
                <w:szCs w:val="18"/>
                <w:highlight w:val="none"/>
              </w:rPr>
            </w:pPr>
            <w:r>
              <w:rPr>
                <w:rFonts w:hint="default" w:ascii="Times New Roman" w:hAnsi="Times New Roman" w:eastAsia="黑体" w:cs="Times New Roman"/>
                <w:color w:val="auto"/>
                <w:spacing w:val="36"/>
                <w:sz w:val="18"/>
                <w:szCs w:val="18"/>
                <w:highlight w:val="none"/>
              </w:rPr>
              <w:t xml:space="preserve">救灾专用 12m</w:t>
            </w:r>
            <w:r>
              <w:rPr>
                <w:rFonts w:hint="default" w:ascii="Times New Roman" w:hAnsi="Times New Roman" w:eastAsia="黑体" w:cs="Times New Roman"/>
                <w:color w:val="auto"/>
                <w:spacing w:val="36"/>
                <w:sz w:val="18"/>
                <w:szCs w:val="18"/>
                <w:highlight w:val="none"/>
                <w:vertAlign w:val="superscript"/>
              </w:rPr>
              <w:t xml:space="preserve">2</w:t>
            </w:r>
            <w:r>
              <w:rPr>
                <w:rFonts w:hint="default" w:ascii="Times New Roman" w:hAnsi="Times New Roman" w:eastAsia="黑体" w:cs="Times New Roman"/>
                <w:color w:val="auto"/>
                <w:spacing w:val="36"/>
                <w:sz w:val="18"/>
                <w:szCs w:val="18"/>
                <w:highlight w:val="none"/>
              </w:rPr>
              <w:t xml:space="preserve">单帐篷</w:t>
            </w:r>
            <w:r>
              <w:rPr>
                <w:rFonts w:hint="default" w:ascii="Times New Roman" w:hAnsi="Times New Roman" w:cs="Times New Roman"/>
                <w:color w:val="auto"/>
                <w:sz w:val="18"/>
                <w:szCs w:val="18"/>
                <w:highlight w:val="none"/>
              </w:rPr>
              <w:t xml:space="preserve"> </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数量：1顶     质量：××kg</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体积：1830mm×300mm×240mm</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生产日期：   年  月  共1包 </w:t>
            </w:r>
            <w:r/>
          </w:p>
          <w:p>
            <w:pPr>
              <w:pStyle w:val="1044"/>
              <w:ind w:firstLine="0"/>
              <w:jc w:val="center"/>
              <w:rPr>
                <w:rFonts w:hint="default" w:ascii="Times New Roman" w:hAnsi="Times New Roman" w:eastAsia="黑体" w:cs="Times New Roman"/>
                <w:color w:val="auto"/>
                <w:spacing w:val="36"/>
                <w:sz w:val="18"/>
                <w:szCs w:val="18"/>
                <w:highlight w:val="none"/>
              </w:rPr>
            </w:pPr>
            <w:r>
              <w:rPr>
                <w:rFonts w:hint="default" w:ascii="Times New Roman" w:hAnsi="Times New Roman" w:eastAsia="黑体" w:cs="Times New Roman"/>
                <w:color w:val="auto"/>
                <w:spacing w:val="36"/>
                <w:sz w:val="18"/>
                <w:szCs w:val="18"/>
                <w:highlight w:val="none"/>
              </w:rPr>
              <w:t xml:space="preserve">单位名称承制</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eastAsia="黑体" w:cs="Times New Roman"/>
                <w:color w:val="auto"/>
                <w:spacing w:val="36"/>
                <w:sz w:val="18"/>
                <w:szCs w:val="18"/>
                <w:highlight w:val="none"/>
              </w:rPr>
              <w:t xml:space="preserve">单位名称监制</w:t>
            </w:r>
            <w:r/>
          </w:p>
        </w:tc>
      </w:tr>
      <w:tr>
        <w:trPr>
          <w:cantSplit/>
          <w:jc w:val="center"/>
          <w:trHeight w:val="358"/>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Borders>
              <w:bottom w:val="single" w:color="auto" w:sz="4" w:space="0"/>
            </w:tcBorders>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纱围</w:t>
            </w:r>
            <w:r/>
          </w:p>
        </w:tc>
        <w:tc>
          <w:tcPr>
            <w:tcBorders>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件</w:t>
            </w:r>
            <w:r/>
          </w:p>
        </w:tc>
        <w:tc>
          <w:tcPr>
            <w:tcBorders>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eastAsia="黑体" w:cs="Times New Roman"/>
                <w:color w:val="auto"/>
                <w:spacing w:val="36"/>
                <w:sz w:val="18"/>
                <w:szCs w:val="18"/>
                <w:highlight w:val="none"/>
              </w:rPr>
            </w:pPr>
            <w:r>
              <w:rPr>
                <w:rFonts w:hint="default" w:ascii="Times New Roman" w:hAnsi="Times New Roman" w:eastAsia="黑体" w:cs="Times New Roman"/>
                <w:color w:val="auto"/>
                <w:spacing w:val="36"/>
                <w:sz w:val="18"/>
                <w:szCs w:val="18"/>
                <w:highlight w:val="none"/>
              </w:rPr>
            </w:r>
            <w:r/>
          </w:p>
        </w:tc>
      </w:tr>
      <w:tr>
        <w:trPr>
          <w:cantSplit/>
          <w:jc w:val="center"/>
          <w:trHeight w:val="358"/>
        </w:trPr>
        <w:tc>
          <w:tcPr>
            <w:tcBorders>
              <w:right w:val="single" w:color="auto" w:sz="4" w:space="0"/>
            </w:tcBorders>
            <w:tcW w:w="346"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Borders>
              <w:top w:val="single" w:color="auto" w:sz="4" w:space="0"/>
              <w:bottom w:val="single" w:color="auto" w:sz="4" w:space="0"/>
            </w:tcBorders>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帐篷使用说明书</w:t>
            </w:r>
            <w:r/>
          </w:p>
        </w:tc>
        <w:tc>
          <w:tcPr>
            <w:tcBorders>
              <w:top w:val="single" w:color="auto" w:sz="4" w:space="0"/>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本</w:t>
            </w:r>
            <w:r/>
          </w:p>
        </w:tc>
        <w:tc>
          <w:tcPr>
            <w:tcBorders>
              <w:top w:val="single" w:color="auto" w:sz="4" w:space="0"/>
              <w:bottom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58"/>
        </w:trPr>
        <w:tc>
          <w:tcPr>
            <w:tcBorders>
              <w:right w:val="single" w:color="auto" w:sz="4" w:space="0"/>
            </w:tcBorders>
            <w:tcW w:w="346"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Borders>
              <w:top w:val="single" w:color="auto" w:sz="4" w:space="0"/>
            </w:tcBorders>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产品合格证</w:t>
            </w:r>
            <w:r/>
          </w:p>
        </w:tc>
        <w:tc>
          <w:tcPr>
            <w:tcBorders>
              <w:top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张</w:t>
            </w:r>
            <w:r/>
          </w:p>
        </w:tc>
        <w:tc>
          <w:tcPr>
            <w:tcBorders>
              <w:top w:val="single" w:color="auto" w:sz="4" w:space="0"/>
            </w:tcBorders>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411"/>
        </w:trPr>
        <w:tc>
          <w:tcPr>
            <w:tcBorders>
              <w:right w:val="single" w:color="auto" w:sz="4" w:space="0"/>
            </w:tcBorders>
            <w:tcW w:w="346"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767"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拉绳</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（含拉绳木板）</w:t>
            </w:r>
            <w:r/>
          </w:p>
        </w:tc>
        <w:tc>
          <w:tcPr>
            <w:tcW w:w="450"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5m</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条</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2</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33"/>
        </w:trPr>
        <w:tc>
          <w:tcPr>
            <w:tcBorders>
              <w:right w:val="single" w:color="auto" w:sz="4" w:space="0"/>
            </w:tcBorders>
            <w:tcW w:w="346"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767"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450"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3m</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条</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6</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框架部分</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通用杆</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根</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18</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山墙地杆</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根</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2</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立杆</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根</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6</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8"/>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地杆四通</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6</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中架四通</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端架三通</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6</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三角桩</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8</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8"/>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钢丝拉绳</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组</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128"/>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橡塑桩头</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8</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配件工具袋</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包装框</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2</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restart"/>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包装袋</w:t>
            </w:r>
            <w:r/>
          </w:p>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部分</w:t>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内包装袋</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387"/>
        </w:trPr>
        <w:tc>
          <w:tcPr>
            <w:tcBorders>
              <w:right w:val="single" w:color="auto" w:sz="4" w:space="0"/>
            </w:tcBorders>
            <w:tcW w:w="346"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left w:val="single" w:color="auto" w:sz="4" w:space="0"/>
            </w:tcBorders>
            <w:tcW w:w="533"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gridSpan w:val="2"/>
            <w:tcW w:w="1217"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外包装袋</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个</w:t>
            </w:r>
            <w:r/>
          </w:p>
        </w:tc>
        <w:tc>
          <w:tcPr>
            <w:tcW w:w="386" w:type="pct"/>
            <w:vAlign w:val="center"/>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W w:w="554"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578" w:type="pct"/>
            <w:vAlign w:val="center"/>
            <w:vMerge w:val="continue"/>
            <w:textDirection w:val="lrTb"/>
            <w:noWrap w:val="false"/>
          </w:tcPr>
          <w:p>
            <w:pPr>
              <w:pStyle w:val="1044"/>
              <w:ind w:firstLine="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567"/>
        </w:trPr>
        <w:tc>
          <w:tcPr>
            <w:gridSpan w:val="8"/>
            <w:tcW w:w="5000" w:type="pct"/>
            <w:vAlign w:val="center"/>
            <w:textDirection w:val="lrTb"/>
            <w:noWrap w:val="false"/>
          </w:tcPr>
          <w:p>
            <w:pPr>
              <w:pStyle w:val="1044"/>
              <w:ind w:firstLine="0"/>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注：一体化包装是将篷体与框架集装在一个包装袋内。</w:t>
            </w:r>
            <w:r/>
          </w:p>
        </w:tc>
      </w:tr>
    </w:tbl>
    <w:p>
      <w:pPr>
        <w:pStyle w:val="1044"/>
        <w:ind w:firstLine="0"/>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r>
      <w:r/>
    </w:p>
    <w:p>
      <w:pPr>
        <w:pStyle w:val="1054"/>
        <w:numPr>
          <w:ilvl w:val="0"/>
          <w:numId w:val="13"/>
        </w:numPr>
        <w:ind w:left="4305"/>
        <w:jc w:val="both"/>
        <w:keepNext w:val="0"/>
        <w:spacing w:after="200"/>
        <w:rPr>
          <w:rFonts w:hint="default" w:ascii="Times New Roman" w:hAnsi="Times New Roman" w:cs="Times New Roman"/>
          <w:color w:val="auto"/>
          <w:highlight w:val="none"/>
        </w:rPr>
        <w:sectPr>
          <w:headerReference w:type="default" r:id="rId9"/>
          <w:footerReference w:type="default" r:id="rId15"/>
          <w:footnotePr/>
          <w:endnotePr/>
          <w:type w:val="nextPage"/>
          <w:pgSz w:w="11907" w:h="16839" w:orient="portrait"/>
          <w:pgMar w:top="1418" w:right="1449" w:bottom="1134" w:left="1418" w:header="1418" w:footer="851" w:gutter="0"/>
          <w:cols w:num="1" w:sep="0" w:space="720" w:equalWidth="1"/>
          <w:docGrid w:linePitch="360"/>
        </w:sectPr>
      </w:pPr>
      <w:r>
        <w:rPr>
          <w:rFonts w:hint="default" w:ascii="Times New Roman" w:hAnsi="Times New Roman" w:cs="Times New Roman"/>
          <w:color w:val="auto"/>
          <w:highlight w:val="none"/>
        </w:rPr>
      </w:r>
      <w:r/>
    </w:p>
    <w:p>
      <w:pPr>
        <w:pStyle w:val="1054"/>
        <w:numPr>
          <w:ilvl w:val="0"/>
          <w:numId w:val="13"/>
        </w:numPr>
        <w:ind w:left="0"/>
        <w:keepNext w:val="0"/>
        <w:spacing w:after="200"/>
        <w:shd w:val="clear" w:color="ffffff" w:fill="ffffff"/>
        <w:rPr>
          <w:rFonts w:hint="default" w:ascii="Times New Roman" w:hAnsi="Times New Roman" w:eastAsia="黑体" w:cs="Times New Roman"/>
          <w:color w:val="auto"/>
          <w:highlight w:val="none"/>
        </w:rPr>
      </w:pPr>
      <w:r/>
      <w:bookmarkStart w:id="963" w:name="_Toc49032439"/>
      <w:r/>
      <w:bookmarkEnd w:id="963"/>
      <w:r/>
      <w:bookmarkStart w:id="964" w:name="_Toc30023"/>
      <w:r/>
      <w:bookmarkEnd w:id="964"/>
      <w:r/>
      <w:bookmarkStart w:id="965" w:name="_Toc49092053"/>
      <w:r/>
      <w:bookmarkEnd w:id="965"/>
      <w:r/>
      <w:bookmarkStart w:id="966" w:name="_Toc7693"/>
      <w:r/>
      <w:bookmarkEnd w:id="966"/>
      <w:r/>
      <w:bookmarkStart w:id="967" w:name="_Toc49033531"/>
      <w:r/>
      <w:bookmarkEnd w:id="967"/>
      <w:r/>
      <w:bookmarkStart w:id="968" w:name="_Toc49120556"/>
      <w:r/>
      <w:bookmarkEnd w:id="968"/>
      <w:r/>
      <w:bookmarkStart w:id="969" w:name="_Toc418769828"/>
      <w:r/>
      <w:bookmarkEnd w:id="969"/>
      <w:r/>
      <w:r/>
    </w:p>
    <w:p>
      <w:pPr>
        <w:pStyle w:val="1044"/>
        <w:ind w:firstLine="0"/>
        <w:jc w:val="center"/>
        <w:rPr>
          <w:rFonts w:hint="default" w:ascii="Times New Roman" w:hAnsi="Times New Roman" w:eastAsia="黑体" w:cs="Times New Roman"/>
          <w:color w:val="auto"/>
          <w:highlight w:val="none"/>
        </w:rPr>
      </w:pPr>
      <w:r/>
      <w:bookmarkStart w:id="970" w:name="_Toc5445"/>
      <w:r/>
      <w:bookmarkStart w:id="971" w:name="_Toc418769829"/>
      <w:r/>
      <w:bookmarkStart w:id="972" w:name="_Toc8001"/>
      <w:r>
        <w:rPr>
          <w:rFonts w:hint="default" w:ascii="Times New Roman" w:hAnsi="Times New Roman" w:eastAsia="黑体" w:cs="Times New Roman"/>
          <w:color w:val="auto"/>
          <w:highlight w:val="none"/>
        </w:rPr>
        <w:t xml:space="preserve">(</w:t>
      </w:r>
      <w:r>
        <w:rPr>
          <w:rFonts w:hint="eastAsia" w:ascii="Times New Roman" w:eastAsia="黑体" w:cs="Times New Roman"/>
          <w:color w:val="auto"/>
          <w:highlight w:val="none"/>
          <w:lang w:eastAsia="zh-CN"/>
        </w:rPr>
        <w:t xml:space="preserve">规范</w:t>
      </w:r>
      <w:r>
        <w:rPr>
          <w:rFonts w:hint="default" w:ascii="Times New Roman" w:hAnsi="Times New Roman" w:eastAsia="黑体" w:cs="Times New Roman"/>
          <w:color w:val="auto"/>
          <w:highlight w:val="none"/>
        </w:rPr>
        <w:t xml:space="preserve">性附录)</w:t>
      </w:r>
      <w:bookmarkEnd w:id="970"/>
      <w:r/>
      <w:bookmarkEnd w:id="971"/>
      <w:r/>
      <w:bookmarkEnd w:id="972"/>
      <w:r/>
      <w:r/>
    </w:p>
    <w:p>
      <w:pPr>
        <w:pStyle w:val="1044"/>
        <w:ind w:firstLine="0"/>
        <w:jc w:val="center"/>
        <w:rPr>
          <w:rFonts w:hint="default" w:ascii="Times New Roman" w:hAnsi="Times New Roman" w:eastAsia="黑体" w:cs="Times New Roman"/>
          <w:color w:val="auto"/>
          <w:highlight w:val="none"/>
        </w:rPr>
      </w:pPr>
      <w:r/>
      <w:bookmarkStart w:id="973" w:name="_Toc7817"/>
      <w:r/>
      <w:bookmarkStart w:id="974" w:name="_Toc418769830"/>
      <w:r/>
      <w:bookmarkStart w:id="975" w:name="_Toc25137"/>
      <w:r>
        <w:rPr>
          <w:rFonts w:hint="eastAsia" w:ascii="Times New Roman" w:eastAsia="黑体" w:cs="Times New Roman"/>
          <w:color w:val="auto"/>
          <w:highlight w:val="none"/>
          <w:lang w:eastAsia="zh-CN"/>
        </w:rPr>
        <w:t xml:space="preserve">救灾</w:t>
      </w:r>
      <w:r>
        <w:rPr>
          <w:rFonts w:hint="default" w:ascii="Times New Roman" w:hAnsi="Times New Roman" w:eastAsia="黑体" w:cs="Times New Roman"/>
          <w:color w:val="auto"/>
          <w:highlight w:val="none"/>
        </w:rPr>
        <w:t xml:space="preserve">帐篷使用说明书</w:t>
      </w:r>
      <w:bookmarkEnd w:id="973"/>
      <w:r/>
      <w:bookmarkEnd w:id="974"/>
      <w:r/>
      <w:bookmarkEnd w:id="975"/>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概述</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救灾帐篷使用说明书的概述内容包括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val="en-US"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主要用途及适用范围</w:t>
      </w:r>
      <w:r>
        <w:rPr>
          <w:rFonts w:hint="eastAsia" w:ascii="Times New Roman" w:hAnsi="Times New Roman" w:eastAsia="仿宋" w:cs="Times New Roman"/>
          <w:bCs/>
          <w:color w:val="auto"/>
          <w:szCs w:val="24"/>
          <w:highlight w:val="none"/>
          <w:lang w:eastAsia="zh-CN"/>
        </w:rPr>
        <w:t xml:space="preserve">（</w:t>
      </w:r>
      <w:r>
        <w:rPr>
          <w:rFonts w:hint="default" w:ascii="Times New Roman" w:hAnsi="Times New Roman" w:eastAsia="仿宋" w:cs="Times New Roman"/>
          <w:bCs/>
          <w:color w:val="auto"/>
          <w:szCs w:val="24"/>
          <w:highlight w:val="none"/>
        </w:rPr>
        <w:t xml:space="preserve">必要时包括不适用范围</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结构组成</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eastAsia" w:ascii="Times New Roman" w:hAnsi="Times New Roman" w:eastAsia="仿宋" w:cs="Times New Roman"/>
          <w:bCs/>
          <w:color w:val="auto"/>
          <w:szCs w:val="24"/>
          <w:highlight w:val="none"/>
          <w:lang w:val="en-US" w:eastAsia="zh-CN"/>
        </w:rPr>
        <w:t xml:space="preserve">c）</w:t>
      </w:r>
      <w:r>
        <w:rPr>
          <w:rFonts w:hint="default" w:ascii="Times New Roman" w:hAnsi="Times New Roman" w:eastAsia="仿宋" w:cs="Times New Roman"/>
          <w:bCs/>
          <w:color w:val="auto"/>
          <w:szCs w:val="24"/>
          <w:highlight w:val="none"/>
          <w:lang w:val="en-US" w:eastAsia="zh-CN"/>
        </w:rPr>
        <w:t xml:space="preserve">品</w:t>
      </w:r>
      <w:r>
        <w:rPr>
          <w:rFonts w:hint="default" w:ascii="Times New Roman" w:hAnsi="Times New Roman" w:eastAsia="仿宋" w:cs="Times New Roman"/>
          <w:bCs/>
          <w:color w:val="auto"/>
          <w:szCs w:val="24"/>
          <w:highlight w:val="none"/>
        </w:rPr>
        <w:t xml:space="preserve">种、规格。</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结构特征</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结构特征应包括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lang w:val="en-US"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lang w:val="en-US" w:eastAsia="zh-CN"/>
        </w:rPr>
        <w:t xml:space="preserve">总体结构</w:t>
      </w:r>
      <w:r>
        <w:rPr>
          <w:rFonts w:hint="eastAsia" w:ascii="Times New Roman" w:hAnsi="Times New Roman" w:eastAsia="仿宋" w:cs="Times New Roman"/>
          <w:bCs/>
          <w:color w:val="auto"/>
          <w:szCs w:val="24"/>
          <w:highlight w:val="none"/>
          <w:lang w:val="en-US"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lang w:val="en-US" w:eastAsia="zh-CN"/>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lang w:val="en-US" w:eastAsia="zh-CN"/>
        </w:rPr>
        <w:t xml:space="preserve">主要部件及特征</w:t>
      </w:r>
      <w:r>
        <w:rPr>
          <w:rFonts w:hint="eastAsia" w:ascii="Times New Roman" w:hAnsi="Times New Roman" w:eastAsia="仿宋" w:cs="Times New Roman"/>
          <w:bCs/>
          <w:color w:val="auto"/>
          <w:szCs w:val="24"/>
          <w:highlight w:val="none"/>
          <w:lang w:val="en-US"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lang w:val="en-US" w:eastAsia="zh-CN"/>
        </w:rPr>
      </w:pPr>
      <w:r>
        <w:rPr>
          <w:rFonts w:hint="eastAsia" w:ascii="Times New Roman" w:hAnsi="Times New Roman" w:eastAsia="仿宋" w:cs="Times New Roman"/>
          <w:bCs/>
          <w:color w:val="auto"/>
          <w:szCs w:val="24"/>
          <w:highlight w:val="none"/>
          <w:lang w:val="en-US" w:eastAsia="zh-CN"/>
        </w:rPr>
        <w:t xml:space="preserve">c）</w:t>
      </w:r>
      <w:r>
        <w:rPr>
          <w:rFonts w:hint="default" w:ascii="Times New Roman" w:hAnsi="Times New Roman" w:eastAsia="仿宋" w:cs="Times New Roman"/>
          <w:bCs/>
          <w:color w:val="auto"/>
          <w:szCs w:val="24"/>
          <w:highlight w:val="none"/>
          <w:lang w:val="en-US" w:eastAsia="zh-CN"/>
        </w:rPr>
        <w:t xml:space="preserve">辅助装置及特征</w:t>
      </w:r>
      <w:r>
        <w:rPr>
          <w:rFonts w:hint="eastAsia" w:ascii="Times New Roman" w:hAnsi="Times New Roman" w:eastAsia="仿宋" w:cs="Times New Roman"/>
          <w:bCs/>
          <w:color w:val="auto"/>
          <w:szCs w:val="24"/>
          <w:highlight w:val="none"/>
          <w:lang w:val="en-US" w:eastAsia="zh-CN"/>
        </w:rPr>
        <w:t xml:space="preserve">。</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技术特性</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技术特性应包括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主要性能</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主要参数。</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尺寸、重量</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尺寸重量应包括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外形及安装尺寸</w:t>
      </w:r>
      <w:r>
        <w:rPr>
          <w:rFonts w:hint="eastAsia" w:ascii="Times New Roman" w:hAnsi="Times New Roman" w:eastAsia="仿宋" w:cs="Times New Roman"/>
          <w:bCs/>
          <w:color w:val="auto"/>
          <w:szCs w:val="24"/>
          <w:highlight w:val="none"/>
          <w:lang w:eastAsia="zh-CN"/>
        </w:rPr>
        <w:t xml:space="preserve">（</w:t>
      </w:r>
      <w:r>
        <w:rPr>
          <w:rFonts w:hint="default" w:ascii="Times New Roman" w:hAnsi="Times New Roman" w:eastAsia="仿宋" w:cs="Times New Roman"/>
          <w:bCs/>
          <w:color w:val="auto"/>
          <w:szCs w:val="24"/>
          <w:highlight w:val="none"/>
        </w:rPr>
        <w:t xml:space="preserve">可分开</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重量。</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开包检查</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开包检查信息应包括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打开包装注意事项</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检查的基本内容。</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架设</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搭设信息应包括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搭设条件及搭设的技术要求</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搭设的基本流程、方法、示意图及注意事项</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val="en-US" w:eastAsia="zh-CN"/>
        </w:rPr>
      </w:pPr>
      <w:r>
        <w:rPr>
          <w:rFonts w:hint="eastAsia" w:ascii="Times New Roman" w:hAnsi="Times New Roman" w:eastAsia="仿宋" w:cs="Times New Roman"/>
          <w:bCs/>
          <w:color w:val="auto"/>
          <w:szCs w:val="24"/>
          <w:highlight w:val="none"/>
          <w:lang w:val="en-US" w:eastAsia="zh-CN"/>
        </w:rPr>
        <w:t xml:space="preserve">c）</w:t>
      </w:r>
      <w:r>
        <w:rPr>
          <w:rFonts w:hint="default" w:ascii="Times New Roman" w:hAnsi="Times New Roman" w:eastAsia="仿宋" w:cs="Times New Roman"/>
          <w:bCs/>
          <w:color w:val="auto"/>
          <w:szCs w:val="24"/>
          <w:highlight w:val="none"/>
        </w:rPr>
        <w:t xml:space="preserve">调整的基本流程、方法、示意图及注意事项</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eastAsia" w:ascii="Times New Roman" w:hAnsi="Times New Roman" w:eastAsia="仿宋" w:cs="Times New Roman"/>
          <w:bCs/>
          <w:color w:val="auto"/>
          <w:szCs w:val="24"/>
          <w:highlight w:val="none"/>
          <w:lang w:val="en-US" w:eastAsia="zh-CN"/>
        </w:rPr>
        <w:t xml:space="preserve">d）</w:t>
      </w:r>
      <w:r>
        <w:rPr>
          <w:rFonts w:hint="default" w:ascii="Times New Roman" w:hAnsi="Times New Roman" w:eastAsia="仿宋" w:cs="Times New Roman"/>
          <w:bCs/>
          <w:color w:val="auto"/>
          <w:szCs w:val="24"/>
          <w:highlight w:val="none"/>
        </w:rPr>
        <w:t xml:space="preserve">搭设后的检验。</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撤收</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撤收信息应包括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撒收的基本流程</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撤收的方法及注意事项</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eastAsia" w:ascii="Times New Roman" w:hAnsi="Times New Roman" w:eastAsia="仿宋" w:cs="Times New Roman"/>
          <w:bCs/>
          <w:color w:val="auto"/>
          <w:szCs w:val="24"/>
          <w:highlight w:val="none"/>
          <w:lang w:val="en-US" w:eastAsia="zh-CN"/>
        </w:rPr>
        <w:t xml:space="preserve">c）</w:t>
      </w:r>
      <w:r>
        <w:rPr>
          <w:rFonts w:hint="default" w:ascii="Times New Roman" w:hAnsi="Times New Roman" w:eastAsia="仿宋" w:cs="Times New Roman"/>
          <w:bCs/>
          <w:color w:val="auto"/>
          <w:szCs w:val="24"/>
          <w:highlight w:val="none"/>
        </w:rPr>
        <w:t xml:space="preserve">篷体、框架及零配件包装的方法及注意事项。</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保养与维护</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t xml:space="preserve">应急使用时的维护与保养方法及注意事项。</w:t>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运输储存</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运输储存信息应包括</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eastAsia" w:ascii="Times New Roman" w:hAnsi="Times New Roman" w:eastAsia="仿宋" w:cs="Times New Roman"/>
          <w:bCs/>
          <w:color w:val="auto"/>
          <w:szCs w:val="24"/>
          <w:highlight w:val="none"/>
          <w:lang w:eastAsia="zh-CN"/>
        </w:rPr>
      </w:pPr>
      <w:r>
        <w:rPr>
          <w:rFonts w:hint="default" w:ascii="Times New Roman" w:hAnsi="Times New Roman" w:eastAsia="仿宋" w:cs="Times New Roman"/>
          <w:bCs/>
          <w:color w:val="auto"/>
          <w:szCs w:val="24"/>
          <w:highlight w:val="none"/>
        </w:rPr>
        <w:t xml:space="preserve">a</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吊装、运输注意事项</w:t>
      </w:r>
      <w:r>
        <w:rPr>
          <w:rFonts w:hint="eastAsia" w:ascii="Times New Roman" w:hAnsi="Times New Roman" w:eastAsia="仿宋" w:cs="Times New Roman"/>
          <w:bCs/>
          <w:color w:val="auto"/>
          <w:szCs w:val="24"/>
          <w:highlight w:val="none"/>
          <w:lang w:eastAsia="zh-CN"/>
        </w:rPr>
        <w:t xml:space="preserve">；</w:t>
      </w:r>
      <w:r/>
    </w:p>
    <w:p>
      <w:pPr>
        <w:ind w:left="-17" w:firstLine="420"/>
        <w:keepLines w:val="0"/>
        <w:keepNext w:val="0"/>
        <w:pageBreakBefore w:val="0"/>
        <w:widowControl w:val="off"/>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t xml:space="preserve">b</w:t>
      </w:r>
      <w:r>
        <w:rPr>
          <w:rFonts w:hint="eastAsia" w:ascii="Times New Roman" w:hAnsi="Times New Roman" w:eastAsia="仿宋" w:cs="Times New Roman"/>
          <w:bCs/>
          <w:color w:val="auto"/>
          <w:sz w:val="21"/>
          <w:szCs w:val="24"/>
          <w:highlight w:val="none"/>
          <w:lang w:val="en-US" w:eastAsia="zh-CN" w:bidi="ar-SA"/>
        </w:rPr>
        <w:t xml:space="preserve">）</w:t>
      </w:r>
      <w:r>
        <w:rPr>
          <w:rFonts w:hint="default" w:ascii="Times New Roman" w:hAnsi="Times New Roman" w:eastAsia="仿宋" w:cs="Times New Roman"/>
          <w:bCs/>
          <w:color w:val="auto"/>
          <w:szCs w:val="24"/>
          <w:highlight w:val="none"/>
        </w:rPr>
        <w:t xml:space="preserve">储存条件、储存期限及注意事项。</w:t>
      </w:r>
      <w:r/>
    </w:p>
    <w:p>
      <w:pPr>
        <w:rPr>
          <w:rFonts w:hint="default" w:ascii="Times New Roman" w:hAnsi="Times New Roman" w:eastAsia="仿宋" w:cs="Times New Roman"/>
          <w:bCs/>
          <w:color w:val="auto"/>
          <w:szCs w:val="24"/>
          <w:highlight w:val="none"/>
        </w:rPr>
      </w:pPr>
      <w:r>
        <w:rPr>
          <w:rFonts w:hint="default" w:ascii="Times New Roman" w:hAnsi="Times New Roman" w:eastAsia="仿宋" w:cs="Times New Roman"/>
          <w:bCs/>
          <w:color w:val="auto"/>
          <w:szCs w:val="24"/>
          <w:highlight w:val="none"/>
        </w:rPr>
        <w:br w:type="page" w:clear="all"/>
      </w:r>
      <w:r/>
    </w:p>
    <w:p>
      <w:pPr>
        <w:pStyle w:val="1054"/>
        <w:numPr>
          <w:ilvl w:val="0"/>
          <w:numId w:val="13"/>
        </w:numPr>
        <w:ind w:left="0"/>
        <w:keepNext w:val="0"/>
        <w:spacing w:after="200"/>
        <w:shd w:val="clear" w:color="ffffff" w:fill="ffffff"/>
        <w:rPr>
          <w:rFonts w:ascii="Times New Roman" w:hAnsi="Times New Roman" w:cs="Times New Roman"/>
          <w:color w:val="auto"/>
          <w:highlight w:val="none"/>
        </w:rPr>
      </w:pPr>
      <w:r/>
      <w:bookmarkStart w:id="984" w:name="_Toc106683295"/>
      <w:r/>
      <w:bookmarkEnd w:id="984"/>
      <w:r/>
      <w:bookmarkStart w:id="985" w:name="_Toc63583162"/>
      <w:r/>
      <w:bookmarkEnd w:id="985"/>
      <w:r/>
      <w:bookmarkStart w:id="986" w:name="_Toc49033532"/>
      <w:r/>
      <w:bookmarkEnd w:id="986"/>
      <w:r/>
      <w:bookmarkStart w:id="987" w:name="_Toc107310954"/>
      <w:r/>
      <w:bookmarkEnd w:id="987"/>
      <w:r/>
      <w:bookmarkStart w:id="988" w:name="_Toc106683757"/>
      <w:r/>
      <w:bookmarkEnd w:id="988"/>
      <w:r/>
      <w:bookmarkStart w:id="989" w:name="_Toc63583351"/>
      <w:r/>
      <w:bookmarkEnd w:id="989"/>
      <w:r/>
      <w:bookmarkStart w:id="990" w:name="_Toc172388706"/>
      <w:r/>
      <w:bookmarkEnd w:id="990"/>
      <w:r/>
      <w:bookmarkStart w:id="991" w:name="_Toc49120557"/>
      <w:r/>
      <w:bookmarkEnd w:id="991"/>
      <w:r/>
      <w:bookmarkStart w:id="992" w:name="_Toc63652680"/>
      <w:r/>
      <w:bookmarkEnd w:id="992"/>
      <w:r/>
      <w:bookmarkStart w:id="993" w:name="_Toc63583247"/>
      <w:r/>
      <w:bookmarkEnd w:id="993"/>
      <w:r/>
      <w:bookmarkStart w:id="994" w:name="_Toc63651636"/>
      <w:r/>
      <w:bookmarkEnd w:id="994"/>
      <w:r/>
      <w:bookmarkStart w:id="995" w:name="_Toc63651270"/>
      <w:r/>
      <w:bookmarkEnd w:id="995"/>
      <w:r/>
      <w:bookmarkStart w:id="996" w:name="_Toc63652689"/>
      <w:r/>
      <w:bookmarkEnd w:id="996"/>
      <w:r/>
      <w:bookmarkStart w:id="997" w:name="_Toc63652193"/>
      <w:r/>
      <w:bookmarkEnd w:id="997"/>
      <w:r/>
      <w:bookmarkStart w:id="998" w:name="_Toc63583156"/>
      <w:r/>
      <w:bookmarkEnd w:id="998"/>
      <w:r/>
      <w:bookmarkStart w:id="999" w:name="_Toc63652096"/>
      <w:r/>
      <w:bookmarkEnd w:id="999"/>
      <w:r/>
      <w:bookmarkStart w:id="1000" w:name="_Toc63652282"/>
      <w:r/>
      <w:bookmarkEnd w:id="1000"/>
      <w:r/>
      <w:bookmarkStart w:id="1001" w:name="_Toc168807175"/>
      <w:r/>
      <w:bookmarkEnd w:id="1001"/>
      <w:r/>
      <w:bookmarkStart w:id="1002" w:name="_Toc63652291"/>
      <w:r/>
      <w:bookmarkEnd w:id="1002"/>
      <w:r/>
      <w:bookmarkStart w:id="1003" w:name="_Toc168807240"/>
      <w:r/>
      <w:bookmarkEnd w:id="1003"/>
      <w:r/>
      <w:bookmarkStart w:id="1004" w:name="_Toc339004769"/>
      <w:r/>
      <w:bookmarkEnd w:id="1004"/>
      <w:r/>
      <w:bookmarkStart w:id="1005" w:name="_Toc168807318"/>
      <w:r/>
      <w:bookmarkEnd w:id="1005"/>
      <w:r/>
      <w:bookmarkStart w:id="1006" w:name="_Toc100566058"/>
      <w:r/>
      <w:bookmarkEnd w:id="1006"/>
      <w:r/>
      <w:bookmarkStart w:id="1007" w:name="_Toc107310876"/>
      <w:r/>
      <w:bookmarkEnd w:id="1007"/>
      <w:r/>
      <w:bookmarkStart w:id="1008" w:name="_Toc107310871"/>
      <w:r/>
      <w:bookmarkEnd w:id="1008"/>
      <w:r/>
      <w:bookmarkStart w:id="1009" w:name="_Toc107310891"/>
      <w:r/>
      <w:bookmarkEnd w:id="1009"/>
      <w:r/>
      <w:bookmarkStart w:id="1010" w:name="_Toc63583258"/>
      <w:r/>
      <w:bookmarkEnd w:id="1010"/>
      <w:r/>
      <w:bookmarkStart w:id="1011" w:name="_Toc63651281"/>
      <w:r/>
      <w:bookmarkEnd w:id="1011"/>
      <w:r/>
      <w:bookmarkStart w:id="1012" w:name="_Toc63651510"/>
      <w:r/>
      <w:bookmarkEnd w:id="1012"/>
      <w:r/>
      <w:bookmarkStart w:id="1013" w:name="_Toc172388667"/>
      <w:r/>
      <w:bookmarkEnd w:id="1013"/>
      <w:r/>
      <w:bookmarkStart w:id="1014" w:name="_Toc168807164"/>
      <w:r/>
      <w:bookmarkEnd w:id="1014"/>
      <w:r/>
      <w:bookmarkStart w:id="1015" w:name="_Toc172391067"/>
      <w:r/>
      <w:bookmarkEnd w:id="1015"/>
      <w:r/>
      <w:bookmarkStart w:id="1016" w:name="_Toc63672484"/>
      <w:r/>
      <w:bookmarkEnd w:id="1016"/>
      <w:r/>
      <w:bookmarkStart w:id="1017" w:name="_Toc63651647"/>
      <w:r/>
      <w:bookmarkEnd w:id="1017"/>
      <w:r/>
      <w:bookmarkStart w:id="1018" w:name="_Toc63484657"/>
      <w:r/>
      <w:bookmarkEnd w:id="1018"/>
      <w:r/>
      <w:bookmarkStart w:id="1019" w:name="_Toc106683275"/>
      <w:r/>
      <w:bookmarkEnd w:id="1019"/>
      <w:r/>
      <w:bookmarkStart w:id="1020" w:name="_Toc106683737"/>
      <w:r/>
      <w:bookmarkEnd w:id="1020"/>
      <w:r/>
      <w:bookmarkStart w:id="1021" w:name="_Toc106683270"/>
      <w:r/>
      <w:bookmarkEnd w:id="1021"/>
      <w:r/>
      <w:bookmarkStart w:id="1022" w:name="_Toc13910"/>
      <w:r/>
      <w:bookmarkEnd w:id="1022"/>
      <w:r/>
      <w:bookmarkStart w:id="1023" w:name="_Toc100566137"/>
      <w:r/>
      <w:bookmarkEnd w:id="1023"/>
      <w:r/>
      <w:bookmarkStart w:id="1024" w:name="_Toc168807150"/>
      <w:r/>
      <w:bookmarkEnd w:id="1024"/>
      <w:r/>
      <w:bookmarkStart w:id="1025" w:name="_Toc106683774"/>
      <w:r/>
      <w:bookmarkEnd w:id="1025"/>
      <w:r/>
      <w:bookmarkStart w:id="1026" w:name="_Toc63583446"/>
      <w:r/>
      <w:bookmarkEnd w:id="1026"/>
      <w:r/>
      <w:bookmarkStart w:id="1027" w:name="_Toc63652184"/>
      <w:r/>
      <w:bookmarkEnd w:id="1027"/>
      <w:r/>
      <w:bookmarkStart w:id="1028" w:name="_Toc63652540"/>
      <w:r/>
      <w:bookmarkEnd w:id="1028"/>
      <w:r/>
      <w:bookmarkStart w:id="1029" w:name="_Toc168807329"/>
      <w:r/>
      <w:bookmarkEnd w:id="1029"/>
      <w:r/>
      <w:bookmarkStart w:id="1030" w:name="_Toc168807154"/>
      <w:r/>
      <w:bookmarkEnd w:id="1030"/>
      <w:r/>
      <w:bookmarkStart w:id="1031" w:name="_Toc168807159"/>
      <w:r/>
      <w:bookmarkEnd w:id="1031"/>
      <w:r/>
      <w:bookmarkStart w:id="1032" w:name="_Toc63583440"/>
      <w:r/>
      <w:bookmarkEnd w:id="1032"/>
      <w:r/>
      <w:bookmarkStart w:id="1033" w:name="_Toc8636"/>
      <w:r/>
      <w:bookmarkEnd w:id="1033"/>
      <w:r/>
      <w:bookmarkStart w:id="1034" w:name="_Toc63652549"/>
      <w:r/>
      <w:bookmarkEnd w:id="1034"/>
      <w:r/>
      <w:bookmarkStart w:id="1035" w:name="_Toc168807312"/>
      <w:r/>
      <w:bookmarkEnd w:id="1035"/>
      <w:r/>
      <w:bookmarkStart w:id="1036" w:name="_Toc107310986"/>
      <w:r/>
      <w:bookmarkEnd w:id="1036"/>
      <w:r/>
      <w:bookmarkStart w:id="1037" w:name="_Toc63651499"/>
      <w:r/>
      <w:bookmarkEnd w:id="1037"/>
      <w:r/>
      <w:bookmarkStart w:id="1038" w:name="_Toc107310949"/>
      <w:r/>
      <w:bookmarkEnd w:id="1038"/>
      <w:r/>
      <w:bookmarkStart w:id="1039" w:name="_Toc63652085"/>
      <w:r/>
      <w:bookmarkEnd w:id="1039"/>
      <w:r/>
      <w:bookmarkStart w:id="1040" w:name="_Toc63484668"/>
      <w:r/>
      <w:bookmarkEnd w:id="1040"/>
      <w:r/>
      <w:bookmarkStart w:id="1041" w:name="_Toc106683748"/>
      <w:r/>
      <w:bookmarkEnd w:id="1041"/>
      <w:r/>
      <w:bookmarkStart w:id="1042" w:name="_Toc106683742"/>
      <w:r/>
      <w:bookmarkEnd w:id="1042"/>
      <w:r/>
      <w:bookmarkStart w:id="1043" w:name="_Toc63583362"/>
      <w:r/>
      <w:bookmarkEnd w:id="1043"/>
      <w:r/>
      <w:bookmarkStart w:id="1044" w:name="_Toc168807219"/>
      <w:r/>
      <w:bookmarkEnd w:id="1044"/>
      <w:r/>
      <w:bookmarkStart w:id="1045" w:name="_Toc172388487"/>
      <w:r/>
      <w:bookmarkEnd w:id="1045"/>
      <w:r/>
      <w:bookmarkStart w:id="1046" w:name="_Toc63650909"/>
      <w:r/>
      <w:bookmarkEnd w:id="1046"/>
      <w:r/>
      <w:bookmarkStart w:id="1047" w:name="_Toc107310960"/>
      <w:r/>
      <w:bookmarkEnd w:id="1047"/>
      <w:r/>
      <w:bookmarkStart w:id="1048" w:name="_Toc63650693"/>
      <w:r/>
      <w:bookmarkEnd w:id="1048"/>
      <w:r/>
      <w:bookmarkStart w:id="1049" w:name="_Toc63651914"/>
      <w:r/>
      <w:bookmarkEnd w:id="1049"/>
      <w:r/>
      <w:bookmarkStart w:id="1050" w:name="_Toc172388662"/>
      <w:r/>
      <w:bookmarkEnd w:id="1050"/>
      <w:r/>
      <w:bookmarkStart w:id="1051" w:name="_Toc107310969"/>
      <w:r/>
      <w:bookmarkEnd w:id="1051"/>
      <w:r/>
      <w:bookmarkStart w:id="1052" w:name="_Toc63652442"/>
      <w:r/>
      <w:bookmarkEnd w:id="1052"/>
      <w:r/>
      <w:bookmarkStart w:id="1053" w:name="_Toc107310880"/>
      <w:r/>
      <w:bookmarkEnd w:id="1053"/>
      <w:r/>
      <w:bookmarkStart w:id="1054" w:name="_Toc63652433"/>
      <w:r/>
      <w:bookmarkEnd w:id="1054"/>
      <w:r/>
      <w:bookmarkStart w:id="1055" w:name="_Toc168807346"/>
      <w:r/>
      <w:bookmarkEnd w:id="1055"/>
      <w:r/>
      <w:bookmarkStart w:id="1056" w:name="_Toc168807229"/>
      <w:r/>
      <w:bookmarkEnd w:id="1056"/>
      <w:r/>
      <w:bookmarkStart w:id="1057" w:name="_Toc168807308"/>
      <w:r/>
      <w:bookmarkEnd w:id="1057"/>
      <w:r/>
      <w:bookmarkStart w:id="1058" w:name="_Toc172388492"/>
      <w:r/>
      <w:bookmarkEnd w:id="1058"/>
      <w:r/>
      <w:bookmarkStart w:id="1059" w:name="_Toc168807224"/>
      <w:r/>
      <w:bookmarkEnd w:id="1059"/>
      <w:r/>
      <w:bookmarkStart w:id="1060" w:name="_Toc107310866"/>
      <w:r/>
      <w:bookmarkEnd w:id="1060"/>
      <w:r/>
      <w:bookmarkStart w:id="1061" w:name="_Toc63650704"/>
      <w:r/>
      <w:bookmarkEnd w:id="1061"/>
      <w:r/>
      <w:bookmarkStart w:id="1062" w:name="_Toc63672475"/>
      <w:r/>
      <w:bookmarkEnd w:id="1062"/>
      <w:r/>
      <w:bookmarkStart w:id="1063" w:name="_Toc418769836"/>
      <w:r/>
      <w:bookmarkEnd w:id="1063"/>
      <w:r/>
      <w:bookmarkStart w:id="1064" w:name="_Toc172388711"/>
      <w:r/>
      <w:bookmarkEnd w:id="1064"/>
      <w:r/>
      <w:bookmarkStart w:id="1065" w:name="_Toc49032440"/>
      <w:r/>
      <w:bookmarkEnd w:id="1065"/>
      <w:r/>
      <w:bookmarkStart w:id="1066" w:name="_Toc106683280"/>
      <w:r/>
      <w:bookmarkEnd w:id="1066"/>
      <w:r/>
      <w:bookmarkStart w:id="1067" w:name="_Toc49092054"/>
      <w:r/>
      <w:bookmarkEnd w:id="1067"/>
      <w:r/>
      <w:bookmarkStart w:id="1068" w:name="_Toc106683284"/>
      <w:r/>
      <w:bookmarkEnd w:id="1068"/>
      <w:r/>
      <w:bookmarkStart w:id="1069" w:name="_Toc63650898"/>
      <w:r/>
      <w:bookmarkEnd w:id="1069"/>
      <w:r/>
      <w:bookmarkStart w:id="1070" w:name="_Toc168807215"/>
      <w:r/>
      <w:bookmarkEnd w:id="1070"/>
      <w:r/>
      <w:bookmarkStart w:id="1071" w:name="_Toc63651925"/>
      <w:r/>
      <w:bookmarkEnd w:id="1071"/>
      <w:r/>
      <w:r/>
    </w:p>
    <w:p>
      <w:pPr>
        <w:ind w:left="735" w:hanging="315"/>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pStyle w:val="1044"/>
        <w:ind w:firstLine="0"/>
        <w:jc w:val="center"/>
        <w:rPr>
          <w:rFonts w:hint="default" w:ascii="Times New Roman" w:hAnsi="Times New Roman" w:eastAsia="黑体" w:cs="Times New Roman"/>
          <w:color w:val="auto"/>
          <w:highlight w:val="none"/>
        </w:rPr>
      </w:pPr>
      <w:r/>
      <w:bookmarkStart w:id="1072" w:name="_Toc103"/>
      <w:r/>
      <w:bookmarkStart w:id="1073" w:name="_Toc26207"/>
      <w:r/>
      <w:bookmarkStart w:id="1074" w:name="_Toc418769837"/>
      <w:r>
        <w:rPr>
          <w:rFonts w:hint="default" w:ascii="Times New Roman" w:hAnsi="Times New Roman" w:eastAsia="黑体" w:cs="Times New Roman"/>
          <w:color w:val="auto"/>
          <w:highlight w:val="none"/>
        </w:rPr>
        <w:t xml:space="preserve">(规范性附录)</w:t>
      </w:r>
      <w:bookmarkEnd w:id="1072"/>
      <w:r/>
      <w:bookmarkEnd w:id="1073"/>
      <w:r/>
      <w:bookmarkEnd w:id="1074"/>
      <w:r/>
      <w:r/>
    </w:p>
    <w:p>
      <w:pPr>
        <w:pStyle w:val="1044"/>
        <w:ind w:firstLine="0"/>
        <w:jc w:val="center"/>
        <w:rPr>
          <w:rFonts w:hint="default" w:ascii="Times New Roman" w:hAnsi="Times New Roman" w:eastAsia="黑体" w:cs="Times New Roman"/>
          <w:color w:val="auto"/>
          <w:highlight w:val="none"/>
        </w:rPr>
      </w:pPr>
      <w:r/>
      <w:bookmarkStart w:id="1075" w:name="_Toc418769838"/>
      <w:r/>
      <w:bookmarkStart w:id="1076" w:name="_Toc7976"/>
      <w:r/>
      <w:bookmarkStart w:id="1077" w:name="_Toc15304"/>
      <w:r>
        <w:rPr>
          <w:rFonts w:hint="default" w:ascii="Times New Roman" w:hAnsi="Times New Roman" w:eastAsia="黑体" w:cs="Times New Roman"/>
          <w:color w:val="auto"/>
          <w:highlight w:val="none"/>
        </w:rPr>
        <w:t xml:space="preserve">333dtex×333dtex涤纶PU涂层布技术要求</w:t>
      </w:r>
      <w:bookmarkEnd w:id="1075"/>
      <w:r/>
      <w:bookmarkEnd w:id="1076"/>
      <w:r/>
      <w:bookmarkEnd w:id="1077"/>
      <w:r/>
      <w:r/>
    </w:p>
    <w:p>
      <w:pPr>
        <w:pStyle w:val="1055"/>
        <w:numPr>
          <w:ilvl w:val="1"/>
          <w:numId w:val="0"/>
        </w:numPr>
        <w:rPr>
          <w:rFonts w:hint="default" w:ascii="Times New Roman" w:hAnsi="Times New Roman" w:cs="Times New Roman"/>
          <w:color w:val="auto"/>
          <w:szCs w:val="21"/>
          <w:highlight w:val="none"/>
        </w:rPr>
      </w:pPr>
      <w:r/>
      <w:bookmarkStart w:id="1078" w:name="_Toc18009"/>
      <w:r/>
      <w:bookmarkStart w:id="1079" w:name="_Toc418769839"/>
      <w:r/>
      <w:bookmarkStart w:id="1080" w:name="_Toc13095"/>
      <w:r>
        <w:rPr>
          <w:rFonts w:hint="default" w:ascii="Times New Roman" w:hAnsi="Times New Roman" w:cs="Times New Roman"/>
          <w:color w:val="auto"/>
          <w:szCs w:val="21"/>
          <w:highlight w:val="none"/>
        </w:rPr>
        <w:t xml:space="preserve">J.1 颜色及涂覆方式</w:t>
      </w:r>
      <w:bookmarkEnd w:id="1078"/>
      <w:r/>
      <w:bookmarkEnd w:id="1079"/>
      <w:r/>
      <w:bookmarkEnd w:id="1080"/>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w:t>
      </w:r>
      <w:bookmarkStart w:id="1082" w:name="_Toc5175"/>
      <w:r/>
      <w:bookmarkStart w:id="1083" w:name="_Toc1226"/>
      <w:r/>
      <w:bookmarkStart w:id="1084" w:name="_Toc418769840"/>
      <w:r>
        <w:rPr>
          <w:rFonts w:hint="default" w:ascii="Times New Roman" w:hAnsi="Times New Roman" w:eastAsia="仿宋" w:cs="Times New Roman"/>
          <w:color w:val="auto"/>
          <w:szCs w:val="24"/>
          <w:highlight w:val="none"/>
        </w:rPr>
        <w:t xml:space="preserve">涤纶PU涂层布为浅天蓝色PANTONG 17—4041 PU涂层织物。</w:t>
      </w:r>
      <w:bookmarkEnd w:id="1082"/>
      <w:r/>
      <w:bookmarkEnd w:id="1083"/>
      <w:r/>
      <w:bookmarkEnd w:id="1084"/>
      <w:r/>
      <w:r/>
    </w:p>
    <w:p>
      <w:pPr>
        <w:pStyle w:val="1055"/>
        <w:numPr>
          <w:ilvl w:val="1"/>
          <w:numId w:val="0"/>
        </w:numPr>
        <w:rPr>
          <w:rFonts w:hint="default" w:ascii="Times New Roman" w:hAnsi="Times New Roman" w:cs="Times New Roman"/>
          <w:color w:val="auto"/>
          <w:szCs w:val="21"/>
          <w:highlight w:val="none"/>
        </w:rPr>
      </w:pPr>
      <w:r/>
      <w:bookmarkStart w:id="1085" w:name="_Toc418769841"/>
      <w:r/>
      <w:bookmarkStart w:id="1086" w:name="_Toc14044"/>
      <w:r/>
      <w:bookmarkStart w:id="1087" w:name="_Toc19694"/>
      <w:r>
        <w:rPr>
          <w:rFonts w:hint="default" w:ascii="Times New Roman" w:hAnsi="Times New Roman" w:cs="Times New Roman"/>
          <w:color w:val="auto"/>
          <w:szCs w:val="21"/>
          <w:highlight w:val="none"/>
        </w:rPr>
        <w:t xml:space="preserve">J.2 织物规格</w:t>
      </w:r>
      <w:bookmarkEnd w:id="1085"/>
      <w:r/>
      <w:bookmarkEnd w:id="1086"/>
      <w:r/>
      <w:bookmarkEnd w:id="1087"/>
      <w:r/>
      <w:r/>
    </w:p>
    <w:p>
      <w:pPr>
        <w:rPr>
          <w:rFonts w:hint="default" w:ascii="Times New Roman" w:hAnsi="Times New Roman" w:eastAsia="仿宋" w:cs="Times New Roman"/>
          <w:color w:val="auto"/>
          <w:szCs w:val="24"/>
          <w:highlight w:val="none"/>
        </w:rPr>
      </w:pPr>
      <w:r/>
      <w:bookmarkStart w:id="1088" w:name="_Toc19338"/>
      <w:r/>
      <w:bookmarkStart w:id="1089" w:name="_Toc418769842"/>
      <w:r/>
      <w:bookmarkStart w:id="1090" w:name="_Toc27490"/>
      <w:r>
        <w:rPr>
          <w:rFonts w:hint="default" w:ascii="Times New Roman" w:hAnsi="Times New Roman" w:eastAsia="仿宋" w:cs="Times New Roman"/>
          <w:color w:val="auto"/>
          <w:szCs w:val="24"/>
          <w:highlight w:val="none"/>
        </w:rPr>
        <w:t xml:space="preserve">织物规格见表J.1。</w:t>
      </w:r>
      <w:bookmarkEnd w:id="1088"/>
      <w:r/>
      <w:bookmarkEnd w:id="1089"/>
      <w:r/>
      <w:bookmarkEnd w:id="1090"/>
      <w:r/>
      <w:r/>
    </w:p>
    <w:p>
      <w:pPr>
        <w:pStyle w:val="1044"/>
        <w:ind w:firstLine="0"/>
        <w:jc w:val="center"/>
        <w:rPr>
          <w:rFonts w:hint="default" w:ascii="Times New Roman" w:hAnsi="Times New Roman" w:eastAsia="黑体" w:cs="Times New Roman"/>
          <w:color w:val="auto"/>
          <w:highlight w:val="none"/>
        </w:rPr>
      </w:pPr>
      <w:r/>
      <w:bookmarkStart w:id="1091" w:name="_Toc222630624"/>
      <w:r>
        <w:rPr>
          <w:rFonts w:hint="default" w:ascii="Times New Roman" w:hAnsi="Times New Roman" w:eastAsia="黑体" w:cs="Times New Roman"/>
          <w:color w:val="auto"/>
          <w:highlight w:val="none"/>
        </w:rPr>
        <w:t xml:space="preserve">表J.1  织物规格</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6"/>
        <w:gridCol w:w="2261"/>
        <w:gridCol w:w="2652"/>
      </w:tblGrid>
      <w:tr>
        <w:trPr>
          <w:jc w:val="center"/>
          <w:trHeight w:val="313"/>
        </w:trPr>
        <w:tc>
          <w:tcPr>
            <w:gridSpan w:val="2"/>
            <w:tcW w:w="3554"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项      目</w:t>
            </w:r>
            <w:r/>
          </w:p>
        </w:tc>
        <w:tc>
          <w:tcPr>
            <w:tcW w:w="1446"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规  格</w:t>
            </w:r>
            <w:r/>
          </w:p>
        </w:tc>
      </w:tr>
      <w:tr>
        <w:trPr>
          <w:jc w:val="center"/>
          <w:trHeight w:val="353"/>
        </w:trPr>
        <w:tc>
          <w:tcPr>
            <w:gridSpan w:val="2"/>
            <w:tcBorders>
              <w:top w:val="single" w:color="auto" w:sz="12" w:space="0"/>
              <w:bottom w:val="single" w:color="auto" w:sz="4" w:space="0"/>
            </w:tcBorders>
            <w:tcW w:w="3554"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涤纶丝（DTY），%</w:t>
            </w:r>
            <w:r/>
          </w:p>
        </w:tc>
        <w:tc>
          <w:tcPr>
            <w:tcBorders>
              <w:top w:val="single" w:color="auto" w:sz="12" w:space="0"/>
              <w:bottom w:val="single" w:color="auto" w:sz="4" w:space="0"/>
            </w:tcBorders>
            <w:tcW w:w="144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100</w:t>
            </w:r>
            <w:r/>
          </w:p>
        </w:tc>
      </w:tr>
      <w:tr>
        <w:trPr>
          <w:jc w:val="center"/>
          <w:trHeight w:val="314"/>
        </w:trPr>
        <w:tc>
          <w:tcPr>
            <w:tcW w:w="2321" w:type="pct"/>
            <w:vAlign w:val="center"/>
            <w:vMerge w:val="restart"/>
            <w:textDirection w:val="lrTb"/>
            <w:noWrap w:val="false"/>
          </w:tcPr>
          <w:p>
            <w:pPr>
              <w:pStyle w:val="1044"/>
              <w:ind w:firstLine="36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纤维规格，dtex</w:t>
            </w:r>
            <w:r/>
          </w:p>
        </w:tc>
        <w:tc>
          <w:tcPr>
            <w:tcW w:w="123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经纱</w:t>
            </w:r>
            <w:r/>
          </w:p>
        </w:tc>
        <w:tc>
          <w:tcPr>
            <w:tcW w:w="1446"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333</w:t>
            </w:r>
            <w:r/>
          </w:p>
        </w:tc>
      </w:tr>
      <w:tr>
        <w:trPr>
          <w:jc w:val="center"/>
          <w:trHeight w:val="314"/>
        </w:trPr>
        <w:tc>
          <w:tcPr>
            <w:tcW w:w="2321" w:type="pct"/>
            <w:vAlign w:val="center"/>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23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纬纱</w:t>
            </w:r>
            <w:r/>
          </w:p>
        </w:tc>
        <w:tc>
          <w:tcPr>
            <w:tcW w:w="1446"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314"/>
        </w:trPr>
        <w:tc>
          <w:tcPr>
            <w:gridSpan w:val="2"/>
            <w:tcBorders>
              <w:bottom w:val="single" w:color="auto" w:sz="12" w:space="0"/>
            </w:tcBorders>
            <w:tcW w:w="3554"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单位面积质量，g/m</w:t>
            </w:r>
            <w:r>
              <w:rPr>
                <w:rFonts w:hint="default" w:ascii="Times New Roman" w:hAnsi="Times New Roman" w:cs="Times New Roman"/>
                <w:bCs/>
                <w:color w:val="auto"/>
                <w:sz w:val="18"/>
                <w:szCs w:val="18"/>
                <w:highlight w:val="none"/>
                <w:vertAlign w:val="superscript"/>
              </w:rPr>
              <w:t xml:space="preserve">2</w:t>
            </w:r>
            <w:r/>
          </w:p>
        </w:tc>
        <w:tc>
          <w:tcPr>
            <w:tcBorders>
              <w:bottom w:val="single" w:color="auto" w:sz="12" w:space="0"/>
            </w:tcBorders>
            <w:tcW w:w="1446"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200</w:t>
            </w:r>
            <w:r/>
          </w:p>
        </w:tc>
      </w:tr>
    </w:tbl>
    <w:p>
      <w:pPr>
        <w:pStyle w:val="1055"/>
        <w:numPr>
          <w:ilvl w:val="1"/>
          <w:numId w:val="0"/>
        </w:numPr>
        <w:rPr>
          <w:rFonts w:hint="default" w:ascii="Times New Roman" w:hAnsi="Times New Roman" w:cs="Times New Roman"/>
          <w:color w:val="auto"/>
          <w:szCs w:val="21"/>
          <w:highlight w:val="none"/>
        </w:rPr>
      </w:pPr>
      <w:r/>
      <w:bookmarkStart w:id="1092" w:name="_Toc418769843"/>
      <w:r/>
      <w:bookmarkStart w:id="1093" w:name="_Toc24593"/>
      <w:r/>
      <w:bookmarkStart w:id="1094" w:name="_Toc29921"/>
      <w:r>
        <w:rPr>
          <w:rFonts w:hint="default" w:ascii="Times New Roman" w:hAnsi="Times New Roman" w:cs="Times New Roman"/>
          <w:color w:val="auto"/>
          <w:szCs w:val="21"/>
          <w:highlight w:val="none"/>
        </w:rPr>
        <w:t xml:space="preserve">J.3 性能指标</w:t>
      </w:r>
      <w:bookmarkEnd w:id="1091"/>
      <w:r/>
      <w:bookmarkEnd w:id="1092"/>
      <w:r>
        <w:rPr>
          <w:rFonts w:hint="default" w:ascii="Times New Roman" w:hAnsi="Times New Roman" w:cs="Times New Roman"/>
          <w:color w:val="auto"/>
          <w:szCs w:val="21"/>
          <w:highlight w:val="none"/>
        </w:rPr>
        <w:t xml:space="preserve">及试验方法</w:t>
      </w:r>
      <w:bookmarkEnd w:id="1093"/>
      <w:r/>
      <w:bookmarkEnd w:id="1094"/>
      <w:r/>
      <w:r/>
    </w:p>
    <w:p>
      <w:pPr>
        <w:rPr>
          <w:rFonts w:hint="default" w:ascii="Times New Roman" w:hAnsi="Times New Roman" w:eastAsia="仿宋" w:cs="Times New Roman"/>
          <w:color w:val="auto"/>
          <w:szCs w:val="24"/>
          <w:highlight w:val="none"/>
        </w:rPr>
      </w:pPr>
      <w:r/>
      <w:bookmarkStart w:id="1095" w:name="_Toc418769844"/>
      <w:r/>
      <w:bookmarkStart w:id="1096" w:name="_Toc4902"/>
      <w:r/>
      <w:bookmarkStart w:id="1097" w:name="_Toc11741"/>
      <w:r>
        <w:rPr>
          <w:rFonts w:hint="default" w:ascii="Times New Roman" w:hAnsi="Times New Roman" w:eastAsia="仿宋" w:cs="Times New Roman"/>
          <w:color w:val="auto"/>
          <w:szCs w:val="24"/>
          <w:highlight w:val="none"/>
        </w:rPr>
        <w:t xml:space="preserve">性能指标及试验方法见表J.2。</w:t>
      </w:r>
      <w:bookmarkEnd w:id="1095"/>
      <w:r/>
      <w:bookmarkEnd w:id="1096"/>
      <w:r/>
      <w:bookmarkEnd w:id="1097"/>
      <w:r/>
      <w:r/>
    </w:p>
    <w:p>
      <w:pPr>
        <w:pStyle w:val="1044"/>
        <w:ind w:firstLine="0"/>
        <w:jc w:val="center"/>
        <w:rPr>
          <w:rFonts w:hint="default" w:ascii="Times New Roman" w:hAnsi="Times New Roman" w:eastAsia="黑体" w:cs="Times New Roman"/>
          <w:color w:val="auto"/>
          <w:szCs w:val="21"/>
          <w:highlight w:val="none"/>
        </w:rPr>
      </w:pPr>
      <w:r>
        <w:rPr>
          <w:rFonts w:hint="default" w:ascii="Times New Roman" w:hAnsi="Times New Roman" w:eastAsia="黑体" w:cs="Times New Roman"/>
          <w:color w:val="auto"/>
          <w:sz w:val="18"/>
          <w:szCs w:val="18"/>
          <w:highlight w:val="none"/>
        </w:rPr>
        <w:t xml:space="preserve">表</w:t>
      </w:r>
      <w:r>
        <w:rPr>
          <w:rFonts w:hint="default" w:ascii="Times New Roman" w:hAnsi="Times New Roman" w:eastAsia="黑体" w:cs="Times New Roman"/>
          <w:color w:val="auto"/>
          <w:highlight w:val="none"/>
        </w:rPr>
        <w:t xml:space="preserve">J.2  </w:t>
      </w:r>
      <w:r>
        <w:rPr>
          <w:rFonts w:hint="default" w:ascii="Times New Roman" w:hAnsi="Times New Roman" w:eastAsia="黑体" w:cs="Times New Roman"/>
          <w:color w:val="auto"/>
          <w:szCs w:val="21"/>
          <w:highlight w:val="none"/>
        </w:rPr>
        <w:t xml:space="preserve">涤纶PU涂层布性能指标及试验方法</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1841"/>
        <w:gridCol w:w="3128"/>
        <w:gridCol w:w="2375"/>
      </w:tblGrid>
      <w:tr>
        <w:trPr>
          <w:jc w:val="center"/>
          <w:trHeight w:val="609"/>
        </w:trPr>
        <w:tc>
          <w:tcPr>
            <w:gridSpan w:val="2"/>
            <w:tcBorders>
              <w:bottom w:val="single" w:color="auto" w:sz="12" w:space="0"/>
            </w:tcBorders>
            <w:tcW w:w="1999"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项      目</w:t>
            </w:r>
            <w:r/>
          </w:p>
        </w:tc>
        <w:tc>
          <w:tcPr>
            <w:tcBorders>
              <w:bottom w:val="single" w:color="auto" w:sz="12" w:space="0"/>
            </w:tcBorders>
            <w:tcW w:w="1706"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性能指标</w:t>
            </w:r>
            <w:r/>
          </w:p>
        </w:tc>
        <w:tc>
          <w:tcPr>
            <w:tcBorders>
              <w:bottom w:val="single" w:color="auto" w:sz="12" w:space="0"/>
            </w:tcBorders>
            <w:tcW w:w="1295"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试验方法</w:t>
            </w:r>
            <w:r/>
          </w:p>
        </w:tc>
      </w:tr>
      <w:tr>
        <w:trPr>
          <w:jc w:val="center"/>
          <w:trHeight w:val="609"/>
        </w:trPr>
        <w:tc>
          <w:tcPr>
            <w:gridSpan w:val="2"/>
            <w:tcBorders>
              <w:bottom w:val="single" w:color="auto" w:sz="12" w:space="0"/>
            </w:tcBorders>
            <w:tcW w:w="1999"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单位面积质量偏差率，%</w:t>
            </w:r>
            <w:r/>
          </w:p>
        </w:tc>
        <w:tc>
          <w:tcPr>
            <w:tcBorders>
              <w:bottom w:val="single" w:color="auto" w:sz="12" w:space="0"/>
            </w:tcBorders>
            <w:tcW w:w="1706"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≤10</w:t>
            </w:r>
            <w:r/>
          </w:p>
        </w:tc>
        <w:tc>
          <w:tcPr>
            <w:tcBorders>
              <w:bottom w:val="single" w:color="auto" w:sz="12" w:space="0"/>
            </w:tcBorders>
            <w:tcW w:w="1295"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4669</w:t>
            </w:r>
            <w:r/>
          </w:p>
        </w:tc>
      </w:tr>
      <w:tr>
        <w:trPr>
          <w:jc w:val="center"/>
        </w:trPr>
        <w:tc>
          <w:tcPr>
            <w:tcBorders>
              <w:top w:val="single" w:color="auto" w:sz="8" w:space="0"/>
            </w:tcBorders>
            <w:tcW w:w="9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断裂强力，N/5cm</w:t>
            </w:r>
            <w:r/>
          </w:p>
        </w:tc>
        <w:tc>
          <w:tcPr>
            <w:tcBorders>
              <w:top w:val="single" w:color="auto" w:sz="8" w:space="0"/>
            </w:tcBorders>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经向</w:t>
            </w:r>
            <w:r/>
          </w:p>
        </w:tc>
        <w:tc>
          <w:tcPr>
            <w:tcBorders>
              <w:top w:val="single" w:color="auto" w:sz="8" w:space="0"/>
            </w:tcBorders>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≥1150</w:t>
            </w:r>
            <w:r/>
          </w:p>
        </w:tc>
        <w:tc>
          <w:tcPr>
            <w:tcBorders>
              <w:top w:val="single" w:color="auto" w:sz="8" w:space="0"/>
            </w:tcBorders>
            <w:tcW w:w="12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3923.1</w:t>
            </w:r>
            <w:r/>
          </w:p>
        </w:tc>
      </w:tr>
      <w:tr>
        <w:trPr>
          <w:jc w:val="center"/>
        </w:trPr>
        <w:tc>
          <w:tcPr>
            <w:tcW w:w="9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纬向</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≥1000</w:t>
            </w:r>
            <w:r/>
          </w:p>
        </w:tc>
        <w:tc>
          <w:tcPr>
            <w:tcW w:w="12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286"/>
        </w:trPr>
        <w:tc>
          <w:tcPr>
            <w:tcW w:w="9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撕破强力，N</w:t>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经向</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≥35</w:t>
            </w:r>
            <w:r/>
          </w:p>
        </w:tc>
        <w:tc>
          <w:tcPr>
            <w:tcW w:w="12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3917.3</w:t>
            </w:r>
            <w:r/>
          </w:p>
        </w:tc>
      </w:tr>
      <w:tr>
        <w:trPr>
          <w:jc w:val="center"/>
          <w:trHeight w:val="285"/>
        </w:trPr>
        <w:tc>
          <w:tcPr>
            <w:tcW w:w="995" w:type="pct"/>
            <w:vAlign w:val="top"/>
            <w:vMerge w:val="continue"/>
            <w:textDirection w:val="lrTb"/>
            <w:noWrap w:val="false"/>
          </w:tcPr>
          <w:p>
            <w:pPr>
              <w:jc w:val="center"/>
              <w:spacing w:line="26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纬向</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≥30</w:t>
            </w:r>
            <w:r/>
          </w:p>
        </w:tc>
        <w:tc>
          <w:tcPr>
            <w:tcW w:w="12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Pr>
        <w:tc>
          <w:tcPr>
            <w:gridSpan w:val="2"/>
            <w:tcW w:w="1999"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抗粘连性</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允许轻度粘连</w:t>
            </w:r>
            <w:r/>
          </w:p>
        </w:tc>
        <w:tc>
          <w:tcPr>
            <w:tcW w:w="1295"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FZ/T 01063</w:t>
            </w:r>
            <w:r/>
          </w:p>
        </w:tc>
      </w:tr>
      <w:tr>
        <w:trPr>
          <w:jc w:val="center"/>
        </w:trPr>
        <w:tc>
          <w:tcPr>
            <w:gridSpan w:val="2"/>
            <w:tcW w:w="1999" w:type="pct"/>
            <w:vAlign w:val="top"/>
            <w:textDirection w:val="lrTb"/>
            <w:noWrap w:val="false"/>
          </w:tcPr>
          <w:p>
            <w:pPr>
              <w:ind w:right="3"/>
              <w:jc w:val="center"/>
              <w:spacing w:before="15"/>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耐光色牢度</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≥4</w:t>
            </w:r>
            <w:r/>
          </w:p>
        </w:tc>
        <w:tc>
          <w:tcPr>
            <w:tcW w:w="1295" w:type="pct"/>
            <w:vAlign w:val="top"/>
            <w:textDirection w:val="lrTb"/>
            <w:noWrap w:val="false"/>
          </w:tcPr>
          <w:p>
            <w:pPr>
              <w:jc w:val="center"/>
              <w:spacing w:before="15"/>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pacing w:val="1"/>
                <w:sz w:val="18"/>
                <w:szCs w:val="24"/>
                <w:highlight w:val="none"/>
              </w:rPr>
              <w:t xml:space="preserve">GB</w:t>
            </w:r>
            <w:r>
              <w:rPr>
                <w:rFonts w:hint="default" w:ascii="Times New Roman" w:hAnsi="Times New Roman" w:eastAsia="仿宋" w:cs="Times New Roman"/>
                <w:color w:val="auto"/>
                <w:spacing w:val="-2"/>
                <w:sz w:val="18"/>
                <w:szCs w:val="24"/>
                <w:highlight w:val="none"/>
              </w:rPr>
              <w:t xml:space="preserve">/</w:t>
            </w:r>
            <w:r>
              <w:rPr>
                <w:rFonts w:hint="default" w:ascii="Times New Roman" w:hAnsi="Times New Roman" w:eastAsia="仿宋" w:cs="Times New Roman"/>
                <w:color w:val="auto"/>
                <w:spacing w:val="1"/>
                <w:sz w:val="18"/>
                <w:szCs w:val="24"/>
                <w:highlight w:val="none"/>
              </w:rPr>
              <w:t xml:space="preserve">T </w:t>
            </w:r>
            <w:r>
              <w:rPr>
                <w:rFonts w:hint="default" w:ascii="Times New Roman" w:hAnsi="Times New Roman" w:eastAsia="仿宋" w:cs="Times New Roman"/>
                <w:color w:val="auto"/>
                <w:spacing w:val="-2"/>
                <w:sz w:val="18"/>
                <w:szCs w:val="24"/>
                <w:highlight w:val="none"/>
              </w:rPr>
              <w:t xml:space="preserve">8</w:t>
            </w:r>
            <w:r>
              <w:rPr>
                <w:rFonts w:hint="default" w:ascii="Times New Roman" w:hAnsi="Times New Roman" w:eastAsia="仿宋" w:cs="Times New Roman"/>
                <w:color w:val="auto"/>
                <w:spacing w:val="1"/>
                <w:sz w:val="18"/>
                <w:szCs w:val="24"/>
                <w:highlight w:val="none"/>
              </w:rPr>
              <w:t xml:space="preserve">4</w:t>
            </w:r>
            <w:r>
              <w:rPr>
                <w:rFonts w:hint="default" w:ascii="Times New Roman" w:hAnsi="Times New Roman" w:eastAsia="仿宋" w:cs="Times New Roman"/>
                <w:color w:val="auto"/>
                <w:spacing w:val="-2"/>
                <w:sz w:val="18"/>
                <w:szCs w:val="24"/>
                <w:highlight w:val="none"/>
              </w:rPr>
              <w:t xml:space="preserve">2</w:t>
            </w:r>
            <w:r>
              <w:rPr>
                <w:rFonts w:hint="default" w:ascii="Times New Roman" w:hAnsi="Times New Roman" w:eastAsia="仿宋" w:cs="Times New Roman"/>
                <w:color w:val="auto"/>
                <w:spacing w:val="1"/>
                <w:sz w:val="18"/>
                <w:szCs w:val="24"/>
                <w:highlight w:val="none"/>
              </w:rPr>
              <w:t xml:space="preserve">7</w:t>
            </w:r>
            <w:r>
              <w:rPr>
                <w:rFonts w:hint="default" w:ascii="Times New Roman" w:hAnsi="Times New Roman" w:eastAsia="仿宋" w:cs="Times New Roman"/>
                <w:color w:val="auto"/>
                <w:spacing w:val="-2"/>
                <w:sz w:val="18"/>
                <w:szCs w:val="24"/>
                <w:highlight w:val="none"/>
              </w:rPr>
              <w:t xml:space="preserve">-</w:t>
            </w:r>
            <w:r>
              <w:rPr>
                <w:rFonts w:hint="default" w:ascii="Times New Roman" w:hAnsi="Times New Roman" w:eastAsia="仿宋" w:cs="Times New Roman"/>
                <w:color w:val="auto"/>
                <w:spacing w:val="1"/>
                <w:sz w:val="18"/>
                <w:szCs w:val="24"/>
                <w:highlight w:val="none"/>
              </w:rPr>
              <w:t xml:space="preserve">2</w:t>
            </w:r>
            <w:r>
              <w:rPr>
                <w:rFonts w:hint="default" w:ascii="Times New Roman" w:hAnsi="Times New Roman" w:eastAsia="仿宋" w:cs="Times New Roman"/>
                <w:color w:val="auto"/>
                <w:spacing w:val="-2"/>
                <w:sz w:val="18"/>
                <w:szCs w:val="24"/>
                <w:highlight w:val="none"/>
              </w:rPr>
              <w:t xml:space="preserve">0</w:t>
            </w:r>
            <w:r>
              <w:rPr>
                <w:rFonts w:hint="default" w:ascii="Times New Roman" w:hAnsi="Times New Roman" w:eastAsia="仿宋" w:cs="Times New Roman"/>
                <w:color w:val="auto"/>
                <w:spacing w:val="1"/>
                <w:sz w:val="18"/>
                <w:szCs w:val="24"/>
                <w:highlight w:val="none"/>
              </w:rPr>
              <w:t xml:space="preserve">0</w:t>
            </w:r>
            <w:r>
              <w:rPr>
                <w:rFonts w:hint="default" w:ascii="Times New Roman" w:hAnsi="Times New Roman" w:eastAsia="仿宋" w:cs="Times New Roman"/>
                <w:color w:val="auto"/>
                <w:sz w:val="18"/>
                <w:szCs w:val="24"/>
                <w:highlight w:val="none"/>
              </w:rPr>
              <w:t xml:space="preserve">8方法3</w:t>
            </w:r>
            <w:r/>
          </w:p>
        </w:tc>
      </w:tr>
      <w:tr>
        <w:trPr>
          <w:jc w:val="center"/>
        </w:trPr>
        <w:tc>
          <w:tcPr>
            <w:tcW w:w="9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静水压，kPa</w:t>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未经折叠部位</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≥50</w:t>
            </w:r>
            <w:r/>
          </w:p>
        </w:tc>
        <w:tc>
          <w:tcPr>
            <w:tcW w:w="12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4744</w:t>
            </w:r>
            <w:r/>
          </w:p>
        </w:tc>
      </w:tr>
      <w:tr>
        <w:trPr>
          <w:jc w:val="center"/>
        </w:trPr>
        <w:tc>
          <w:tcPr>
            <w:tcW w:w="9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*折叠后有折痕部位</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≥30</w:t>
            </w:r>
            <w:r/>
          </w:p>
        </w:tc>
        <w:tc>
          <w:tcPr>
            <w:tcW w:w="12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Pr>
        <w:tc>
          <w:tcPr>
            <w:tcW w:w="9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阻燃性能</w:t>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损毁长度，mm</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≤150</w:t>
            </w:r>
            <w:r/>
          </w:p>
        </w:tc>
        <w:tc>
          <w:tcPr>
            <w:tcW w:w="1295" w:type="pct"/>
            <w:vAlign w:val="center"/>
            <w:vMerge w:val="restart"/>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5455</w:t>
            </w:r>
            <w:r/>
          </w:p>
        </w:tc>
      </w:tr>
      <w:tr>
        <w:trPr>
          <w:jc w:val="center"/>
        </w:trPr>
        <w:tc>
          <w:tcPr>
            <w:tcW w:w="9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续、阴燃时间，s</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≤15</w:t>
            </w:r>
            <w:r/>
          </w:p>
        </w:tc>
        <w:tc>
          <w:tcPr>
            <w:tcW w:w="12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Pr>
        <w:tc>
          <w:tcPr>
            <w:tcW w:w="9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W w:w="1003"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熔融滴落物</w:t>
            </w:r>
            <w:r/>
          </w:p>
        </w:tc>
        <w:tc>
          <w:tcPr>
            <w:tcW w:w="1706" w:type="pct"/>
            <w:vAlign w:val="top"/>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不得引起脱脂棉燃烧或阴燃</w:t>
            </w:r>
            <w:r/>
          </w:p>
        </w:tc>
        <w:tc>
          <w:tcPr>
            <w:tcW w:w="1295" w:type="pct"/>
            <w:vAlign w:val="top"/>
            <w:vMerge w:val="continue"/>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Pr>
        <w:tc>
          <w:tcPr>
            <w:gridSpan w:val="4"/>
            <w:tcW w:w="5000" w:type="pct"/>
            <w:vAlign w:val="top"/>
            <w:textDirection w:val="lrTb"/>
            <w:noWrap w:val="false"/>
          </w:tcPr>
          <w:p>
            <w:pPr>
              <w:pStyle w:val="1044"/>
              <w:ind w:firstLine="0"/>
              <w:jc w:val="left"/>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注：折痕部位耐静水压测试样折叠方法及测试要求见附录K。</w:t>
            </w:r>
            <w:r/>
          </w:p>
        </w:tc>
      </w:tr>
    </w:tbl>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54"/>
        <w:numPr>
          <w:ilvl w:val="0"/>
          <w:numId w:val="13"/>
        </w:numPr>
        <w:ind w:left="0"/>
        <w:keepNext w:val="0"/>
        <w:spacing w:after="200"/>
        <w:rPr>
          <w:rFonts w:ascii="Times New Roman"/>
          <w:color w:val="auto"/>
          <w:highlight w:val="none"/>
        </w:rPr>
      </w:pPr>
      <w:r>
        <w:rPr>
          <w:rFonts w:ascii="Times New Roman"/>
          <w:color w:val="auto"/>
          <w:highlight w:val="none"/>
        </w:rPr>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（规范性附录)</w:t>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静水压测试试样折叠方法及测试要求</w:t>
      </w:r>
      <w:r/>
    </w:p>
    <w:p>
      <w:pP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r>
      <w:r/>
    </w:p>
    <w:p>
      <w:pPr>
        <w:jc w:val="lef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在距布段头1000mm处开剪、去头。再沿布匹径向500mm开剪，裁</w:t>
      </w:r>
      <w:r>
        <w:rPr>
          <w:rFonts w:hint="default" w:ascii="Times New Roman" w:hAnsi="Times New Roman" w:eastAsia="仿宋" w:cs="Times New Roman"/>
          <w:color w:val="auto"/>
          <w:szCs w:val="24"/>
          <w:highlight w:val="none"/>
        </w:rPr>
        <w:t xml:space="preserve">下的布样沿纬向500mm开剪，制成500mm×500mm试样三块，试样应无影响测试的疵点。每块试样沿中轴线，上下、左右、上下、左右对折四次，如图K.1所示，形成16层，边长125mm×125mm的正方形。将试样置于平整、光洁、刚性，边长大于160mm×160mm的两块正方形平板之间，上平板上方配重，试样上方的总重50kg，重力均匀施加于试样上。在标准大气条件下进行测量和实验，持续时间24h。试验结束后，将试样展开，按十字折痕取5处，如图K.2所示，分别测量静水压，取平均值。三块试样的平均值为折痕处静水压值。</w:t>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p>
      <w:pPr>
        <w:jc w:val="cente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mc:AlternateContent>
          <mc:Choice Requires="wpg">
            <w:drawing>
              <wp:inline xmlns:wp="http://schemas.openxmlformats.org/drawingml/2006/wordprocessingDrawing" distT="0" distB="0" distL="0" distR="0">
                <wp:extent cx="3810000" cy="2263140"/>
                <wp:effectExtent l="0" t="0" r="0" b="10160"/>
                <wp:docPr id="4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4"/>
                        <pic:cNvPicPr>
                          <a:picLocks noChangeAspect="1"/>
                        </pic:cNvPicPr>
                        <pic:nvPr/>
                      </pic:nvPicPr>
                      <pic:blipFill>
                        <a:blip r:embed="rId67"/>
                        <a:srcRect l="10728" t="19547" r="22577" b="10039"/>
                        <a:stretch/>
                      </pic:blipFill>
                      <pic:spPr bwMode="auto">
                        <a:xfrm>
                          <a:off x="0" y="0"/>
                          <a:ext cx="3810000" cy="2263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300.0pt;height:178.2pt;mso-wrap-distance-left:0.0pt;mso-wrap-distance-top:0.0pt;mso-wrap-distance-right:0.0pt;mso-wrap-distance-bottom:0.0pt;" stroked="f">
                <v:path textboxrect="0,0,0,0"/>
                <v:imagedata r:id="rId67" o:title=""/>
              </v:shape>
            </w:pict>
          </mc:Fallback>
        </mc:AlternateContent>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图K.1 试样折叠方法</w:t>
      </w:r>
      <w:r/>
    </w:p>
    <w:p>
      <w:pPr>
        <w:jc w:val="cente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mc:AlternateContent>
          <mc:Choice Requires="wpg">
            <w:drawing>
              <wp:inline xmlns:wp="http://schemas.openxmlformats.org/drawingml/2006/wordprocessingDrawing" distT="0" distB="0" distL="0" distR="0">
                <wp:extent cx="2680335" cy="2668270"/>
                <wp:effectExtent l="0" t="0" r="12065" b="11430"/>
                <wp:docPr id="4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5"/>
                        <pic:cNvPicPr>
                          <a:picLocks noChangeAspect="1"/>
                        </pic:cNvPicPr>
                        <pic:nvPr/>
                      </pic:nvPicPr>
                      <pic:blipFill>
                        <a:blip r:embed="rId68"/>
                        <a:srcRect l="17335" t="6744" r="34404" b="8278"/>
                        <a:stretch/>
                      </pic:blipFill>
                      <pic:spPr bwMode="auto">
                        <a:xfrm>
                          <a:off x="0" y="0"/>
                          <a:ext cx="2680335" cy="2668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11.0pt;height:210.1pt;mso-wrap-distance-left:0.0pt;mso-wrap-distance-top:0.0pt;mso-wrap-distance-right:0.0pt;mso-wrap-distance-bottom:0.0pt;" stroked="f">
                <v:path textboxrect="0,0,0,0"/>
                <v:imagedata r:id="rId68" o:title=""/>
              </v:shape>
            </w:pict>
          </mc:Fallback>
        </mc:AlternateContent>
      </w:r>
      <w:r/>
    </w:p>
    <w:p>
      <w:pPr>
        <w:jc w:val="center"/>
        <w:rPr>
          <w:rFonts w:hint="default" w:ascii="Times New Roman" w:hAnsi="Times New Roman" w:cs="Times New Roman"/>
          <w:color w:val="auto"/>
          <w:highlight w:val="none"/>
        </w:rPr>
      </w:pPr>
      <w:r>
        <w:rPr>
          <w:rFonts w:hint="default" w:ascii="Times New Roman" w:hAnsi="Times New Roman" w:eastAsia="仿宋" w:cs="Times New Roman"/>
          <w:color w:val="auto"/>
          <w:szCs w:val="24"/>
          <w:highlight w:val="none"/>
        </w:rPr>
        <w:t xml:space="preserve">图K.2 试样静水压测点位置</w:t>
      </w:r>
      <w:r>
        <w:rPr>
          <w:rFonts w:hint="default" w:ascii="Times New Roman" w:hAnsi="Times New Roman" w:cs="Times New Roman"/>
          <w:b/>
          <w:color w:val="auto"/>
          <w:highlight w:val="none"/>
        </w:rPr>
        <w:br w:type="page" w:clear="all"/>
      </w:r>
      <w:bookmarkStart w:id="1109" w:name="_Toc12990"/>
      <w:r/>
      <w:bookmarkEnd w:id="1109"/>
      <w:r/>
      <w:bookmarkStart w:id="1110" w:name="_Toc17991"/>
      <w:r/>
      <w:bookmarkEnd w:id="1110"/>
      <w:r/>
      <w:bookmarkStart w:id="1111" w:name="_Toc31054"/>
      <w:r/>
      <w:bookmarkStart w:id="1112" w:name="_Toc3212"/>
      <w:r/>
      <w:r/>
    </w:p>
    <w:p>
      <w:pPr>
        <w:pStyle w:val="1054"/>
        <w:numPr>
          <w:ilvl w:val="0"/>
          <w:numId w:val="13"/>
        </w:numPr>
        <w:ind w:left="0"/>
        <w:keepNext w:val="0"/>
        <w:spacing w:after="200"/>
        <w:rPr>
          <w:rFonts w:ascii="Times New Roman"/>
          <w:color w:val="auto"/>
          <w:highlight w:val="none"/>
        </w:rPr>
      </w:pPr>
      <w:r>
        <w:rPr>
          <w:rFonts w:ascii="Times New Roman"/>
          <w:color w:val="auto"/>
          <w:highlight w:val="none"/>
        </w:rPr>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（规范性附录）</w:t>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28×2/28×2涤纶防水帆布技术要求</w:t>
      </w:r>
      <w:bookmarkEnd w:id="1111"/>
      <w:r/>
      <w:bookmarkEnd w:id="1112"/>
      <w:r/>
      <w:r/>
    </w:p>
    <w:p>
      <w:pPr>
        <w:pStyle w:val="1055"/>
        <w:numPr>
          <w:ilvl w:val="1"/>
          <w:numId w:val="0"/>
        </w:numPr>
        <w:rPr>
          <w:rFonts w:hint="default" w:ascii="Times New Roman" w:hAnsi="Times New Roman" w:cs="Times New Roman"/>
          <w:color w:val="auto"/>
          <w:highlight w:val="none"/>
        </w:rPr>
      </w:pPr>
      <w:r/>
      <w:bookmarkStart w:id="1113" w:name="_Toc23444"/>
      <w:r/>
      <w:bookmarkStart w:id="1114" w:name="_Toc13309"/>
      <w:r>
        <w:rPr>
          <w:rFonts w:hint="default" w:ascii="Times New Roman" w:hAnsi="Times New Roman" w:cs="Times New Roman"/>
          <w:color w:val="auto"/>
          <w:szCs w:val="21"/>
          <w:highlight w:val="none"/>
        </w:rPr>
        <w:t xml:space="preserve">L</w:t>
      </w:r>
      <w:r>
        <w:rPr>
          <w:rFonts w:hint="default" w:ascii="Times New Roman" w:hAnsi="Times New Roman" w:cs="Times New Roman"/>
          <w:color w:val="auto"/>
          <w:sz w:val="28"/>
          <w:szCs w:val="28"/>
          <w:highlight w:val="none"/>
        </w:rPr>
        <w:t xml:space="preserve">.</w:t>
      </w:r>
      <w:r>
        <w:rPr>
          <w:rFonts w:hint="default" w:ascii="Times New Roman" w:hAnsi="Times New Roman" w:cs="Times New Roman"/>
          <w:color w:val="auto"/>
          <w:szCs w:val="21"/>
          <w:highlight w:val="none"/>
        </w:rPr>
        <w:t xml:space="preserve">1</w:t>
      </w:r>
      <w:r>
        <w:rPr>
          <w:rFonts w:hint="default" w:ascii="Times New Roman" w:hAnsi="Times New Roman" w:cs="Times New Roman"/>
          <w:color w:val="auto"/>
          <w:highlight w:val="none"/>
        </w:rPr>
        <w:t xml:space="preserve">性能指标及试验方法</w:t>
      </w:r>
      <w:bookmarkEnd w:id="1113"/>
      <w:r/>
      <w:bookmarkEnd w:id="1114"/>
      <w:r/>
      <w:r/>
    </w:p>
    <w:p>
      <w:pPr>
        <w:pStyle w:val="1044"/>
        <w:ind w:firstLine="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    涤纶防水帆布为天蓝色。</w:t>
      </w:r>
      <w:r/>
    </w:p>
    <w:p>
      <w:pPr>
        <w:pStyle w:val="1055"/>
        <w:numPr>
          <w:ilvl w:val="1"/>
          <w:numId w:val="0"/>
        </w:numP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L.2 织物规格</w:t>
      </w:r>
      <w:r/>
    </w:p>
    <w:p>
      <w:pPr>
        <w:pStyle w:val="1044"/>
        <w:ind w:firstLine="0"/>
        <w:rPr>
          <w:rFonts w:hint="default" w:ascii="Times New Roman" w:hAnsi="Times New Roman" w:eastAsia="黑体" w:cs="Times New Roman"/>
          <w:color w:val="auto"/>
          <w:highlight w:val="none"/>
        </w:rPr>
      </w:pPr>
      <w:r>
        <w:rPr>
          <w:rFonts w:hint="default" w:ascii="Times New Roman" w:hAnsi="Times New Roman" w:cs="Times New Roman"/>
          <w:color w:val="auto"/>
          <w:szCs w:val="21"/>
          <w:highlight w:val="none"/>
        </w:rPr>
        <w:t xml:space="preserve">    织物规格见表</w:t>
      </w:r>
      <w:r>
        <w:rPr>
          <w:rFonts w:hint="default" w:ascii="Times New Roman" w:hAnsi="Times New Roman" w:cs="Times New Roman"/>
          <w:color w:val="auto"/>
          <w:highlight w:val="none"/>
        </w:rPr>
        <w:t xml:space="preserve">L.1。</w:t>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表</w:t>
      </w:r>
      <w:r>
        <w:rPr>
          <w:rFonts w:hint="default" w:ascii="Times New Roman" w:hAnsi="Times New Roman" w:eastAsia="黑体" w:cs="Times New Roman"/>
          <w:color w:val="auto"/>
          <w:szCs w:val="21"/>
          <w:highlight w:val="none"/>
        </w:rPr>
        <w:t xml:space="preserve">L</w:t>
      </w:r>
      <w:r>
        <w:rPr>
          <w:rFonts w:hint="default" w:ascii="Times New Roman" w:hAnsi="Times New Roman" w:eastAsia="黑体" w:cs="Times New Roman"/>
          <w:color w:val="auto"/>
          <w:highlight w:val="none"/>
        </w:rPr>
        <w:t xml:space="preserve">.1  织物规格</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44"/>
        <w:gridCol w:w="3525"/>
      </w:tblGrid>
      <w:tr>
        <w:trPr>
          <w:jc w:val="center"/>
          <w:trHeight w:val="385"/>
        </w:trPr>
        <w:tc>
          <w:tcPr>
            <w:tcW w:w="3078"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项      目</w:t>
            </w:r>
            <w:r/>
          </w:p>
        </w:tc>
        <w:tc>
          <w:tcPr>
            <w:tcW w:w="1922"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规  格</w:t>
            </w:r>
            <w:r/>
          </w:p>
        </w:tc>
      </w:tr>
      <w:tr>
        <w:trPr>
          <w:jc w:val="center"/>
          <w:trHeight w:val="430"/>
        </w:trPr>
        <w:tc>
          <w:tcPr>
            <w:tcBorders>
              <w:top w:val="single" w:color="auto" w:sz="12" w:space="0"/>
              <w:bottom w:val="single" w:color="auto" w:sz="12" w:space="0"/>
            </w:tcBorders>
            <w:tcW w:w="3078"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涤纶丝（DTY），%</w:t>
            </w:r>
            <w:r/>
          </w:p>
        </w:tc>
        <w:tc>
          <w:tcPr>
            <w:tcBorders>
              <w:top w:val="single" w:color="auto" w:sz="12" w:space="0"/>
              <w:bottom w:val="single" w:color="auto" w:sz="12" w:space="0"/>
            </w:tcBorders>
            <w:tcW w:w="1922"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100</w:t>
            </w:r>
            <w:r/>
          </w:p>
        </w:tc>
      </w:tr>
    </w:tbl>
    <w:p>
      <w:pPr>
        <w:pStyle w:val="1044"/>
        <w:ind w:firstLine="0"/>
        <w:rPr>
          <w:rFonts w:hint="default" w:ascii="Times New Roman" w:hAnsi="Times New Roman" w:cs="Times New Roman"/>
          <w:color w:val="auto"/>
          <w:highlight w:val="none"/>
        </w:rPr>
      </w:pPr>
      <w:r>
        <w:rPr>
          <w:rFonts w:hint="default" w:ascii="Times New Roman" w:hAnsi="Times New Roman" w:eastAsia="黑体" w:cs="Times New Roman"/>
          <w:color w:val="auto"/>
          <w:szCs w:val="21"/>
          <w:highlight w:val="none"/>
        </w:rPr>
        <w:t xml:space="preserve">L</w:t>
      </w:r>
      <w:r>
        <w:rPr>
          <w:rFonts w:hint="default" w:ascii="Times New Roman" w:hAnsi="Times New Roman" w:eastAsia="黑体" w:cs="Times New Roman"/>
          <w:color w:val="auto"/>
          <w:highlight w:val="none"/>
        </w:rPr>
        <w:t xml:space="preserve">.3 性能指标及试验方法</w:t>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性能指标及试验方法见表L.2。</w:t>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highlight w:val="none"/>
        </w:rPr>
        <w:t xml:space="preserve">表</w:t>
      </w:r>
      <w:r>
        <w:rPr>
          <w:rFonts w:hint="default" w:ascii="Times New Roman" w:hAnsi="Times New Roman" w:eastAsia="黑体" w:cs="Times New Roman"/>
          <w:color w:val="auto"/>
          <w:szCs w:val="21"/>
          <w:highlight w:val="none"/>
        </w:rPr>
        <w:t xml:space="preserve">L</w:t>
      </w:r>
      <w:r>
        <w:rPr>
          <w:rFonts w:hint="default" w:ascii="Times New Roman" w:hAnsi="Times New Roman" w:eastAsia="黑体" w:cs="Times New Roman"/>
          <w:color w:val="auto"/>
          <w:highlight w:val="none"/>
        </w:rPr>
        <w:t xml:space="preserve">.2  性能指标及试验方法</w:t>
      </w:r>
      <w:r/>
    </w:p>
    <w:tbl>
      <w:tblPr>
        <w:tblStyle w:val="84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7"/>
        <w:gridCol w:w="1421"/>
        <w:gridCol w:w="2045"/>
        <w:gridCol w:w="3506"/>
      </w:tblGrid>
      <w:tr>
        <w:trPr>
          <w:cantSplit/>
          <w:jc w:val="center"/>
          <w:trHeight w:val="383"/>
        </w:trPr>
        <w:tc>
          <w:tcPr>
            <w:gridSpan w:val="2"/>
            <w:tcBorders>
              <w:top w:val="single" w:color="auto" w:sz="12" w:space="0"/>
              <w:bottom w:val="single" w:color="auto" w:sz="12" w:space="0"/>
            </w:tcBorders>
            <w:tcW w:w="1973"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项     目</w:t>
            </w:r>
            <w:r/>
          </w:p>
        </w:tc>
        <w:tc>
          <w:tcPr>
            <w:tcBorders>
              <w:top w:val="single" w:color="auto" w:sz="12" w:space="0"/>
              <w:bottom w:val="single" w:color="auto" w:sz="12" w:space="0"/>
            </w:tcBorders>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指  标</w:t>
            </w:r>
            <w:r/>
          </w:p>
        </w:tc>
        <w:tc>
          <w:tcPr>
            <w:tcBorders>
              <w:top w:val="single" w:color="auto" w:sz="12" w:space="0"/>
              <w:bottom w:val="single" w:color="auto" w:sz="12" w:space="0"/>
            </w:tcBorders>
            <w:tcW w:w="1913"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试  验  方  法</w:t>
            </w:r>
            <w:r/>
          </w:p>
        </w:tc>
      </w:tr>
      <w:tr>
        <w:trPr>
          <w:cantSplit/>
          <w:jc w:val="center"/>
          <w:trHeight w:val="383"/>
        </w:trPr>
        <w:tc>
          <w:tcPr>
            <w:gridSpan w:val="2"/>
            <w:tcBorders>
              <w:top w:val="single" w:color="auto" w:sz="12" w:space="0"/>
              <w:bottom w:val="single" w:color="auto" w:sz="4" w:space="0"/>
            </w:tcBorders>
            <w:tcW w:w="1973"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单位面积质量，g/m</w:t>
            </w:r>
            <w:r>
              <w:rPr>
                <w:rFonts w:hint="default" w:ascii="Times New Roman" w:hAnsi="Times New Roman" w:cs="Times New Roman"/>
                <w:bCs/>
                <w:color w:val="auto"/>
                <w:sz w:val="18"/>
                <w:szCs w:val="18"/>
                <w:highlight w:val="none"/>
                <w:vertAlign w:val="superscript"/>
              </w:rPr>
              <w:t xml:space="preserve">2</w:t>
            </w:r>
            <w:r/>
          </w:p>
        </w:tc>
        <w:tc>
          <w:tcPr>
            <w:tcBorders>
              <w:top w:val="single" w:color="auto" w:sz="12" w:space="0"/>
              <w:bottom w:val="single" w:color="auto" w:sz="4" w:space="0"/>
            </w:tcBorders>
            <w:tcW w:w="1115"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≥290</w:t>
            </w:r>
            <w:r/>
          </w:p>
        </w:tc>
        <w:tc>
          <w:tcPr>
            <w:tcBorders>
              <w:top w:val="single" w:color="auto" w:sz="12" w:space="0"/>
              <w:bottom w:val="single" w:color="auto" w:sz="4" w:space="0"/>
            </w:tcBorders>
            <w:tcW w:w="1913" w:type="pct"/>
            <w:vAlign w:val="center"/>
            <w:textDirection w:val="lrTb"/>
            <w:noWrap w:val="false"/>
          </w:tcPr>
          <w:p>
            <w:pPr>
              <w:pStyle w:val="1044"/>
              <w:ind w:firstLine="0"/>
              <w:jc w:val="center"/>
              <w:widowControl w:val="off"/>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GB/T 4669</w:t>
            </w:r>
            <w:r/>
          </w:p>
        </w:tc>
      </w:tr>
      <w:tr>
        <w:trPr>
          <w:cantSplit/>
          <w:jc w:val="center"/>
          <w:trHeight w:val="367"/>
        </w:trPr>
        <w:tc>
          <w:tcPr>
            <w:tcBorders>
              <w:top w:val="single" w:color="auto" w:sz="4" w:space="0"/>
            </w:tcBorders>
            <w:tcW w:w="1198"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密度，根/10cm</w:t>
            </w:r>
            <w:r/>
          </w:p>
        </w:tc>
        <w:tc>
          <w:tcPr>
            <w:tcBorders>
              <w:top w:val="single" w:color="auto" w:sz="4" w:space="0"/>
            </w:tcBorders>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经 向</w:t>
            </w:r>
            <w:r/>
          </w:p>
        </w:tc>
        <w:tc>
          <w:tcPr>
            <w:tcBorders>
              <w:top w:val="single" w:color="auto" w:sz="4" w:space="0"/>
            </w:tcBorders>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≥237</w:t>
            </w:r>
            <w:r/>
          </w:p>
        </w:tc>
        <w:tc>
          <w:tcPr>
            <w:tcBorders>
              <w:top w:val="single" w:color="auto" w:sz="4" w:space="0"/>
            </w:tcBorders>
            <w:tcW w:w="1913"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GB/T 4668</w:t>
            </w:r>
            <w:r/>
          </w:p>
        </w:tc>
      </w:tr>
      <w:tr>
        <w:trPr>
          <w:cantSplit/>
          <w:jc w:val="center"/>
          <w:trHeight w:val="367"/>
        </w:trPr>
        <w:tc>
          <w:tcPr>
            <w:tcW w:w="1198"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纬 向</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≥180</w:t>
            </w:r>
            <w:r/>
          </w:p>
        </w:tc>
        <w:tc>
          <w:tcPr>
            <w:tcW w:w="1913"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cantSplit/>
          <w:jc w:val="center"/>
          <w:trHeight w:val="367"/>
        </w:trPr>
        <w:tc>
          <w:tcPr>
            <w:tcW w:w="1198"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断裂强力，N/5cm</w:t>
            </w:r>
            <w:r/>
          </w:p>
        </w:tc>
        <w:tc>
          <w:tcPr>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经 向</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≥1200</w:t>
            </w:r>
            <w:r/>
          </w:p>
        </w:tc>
        <w:tc>
          <w:tcPr>
            <w:tcW w:w="1913"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GB/T 3923.1</w:t>
            </w:r>
            <w:r/>
          </w:p>
        </w:tc>
      </w:tr>
      <w:tr>
        <w:trPr>
          <w:cantSplit/>
          <w:jc w:val="center"/>
          <w:trHeight w:val="367"/>
        </w:trPr>
        <w:tc>
          <w:tcPr>
            <w:tcW w:w="1198"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纬 向</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≥1000</w:t>
            </w:r>
            <w:r/>
          </w:p>
        </w:tc>
        <w:tc>
          <w:tcPr>
            <w:tcW w:w="1913"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cantSplit/>
          <w:jc w:val="center"/>
          <w:trHeight w:val="367"/>
        </w:trPr>
        <w:tc>
          <w:tcPr>
            <w:tcW w:w="1198"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撕破强力， N</w:t>
            </w:r>
            <w:r/>
          </w:p>
        </w:tc>
        <w:tc>
          <w:tcPr>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经 向</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≥35</w:t>
            </w:r>
            <w:r/>
          </w:p>
        </w:tc>
        <w:tc>
          <w:tcPr>
            <w:tcW w:w="1913" w:type="pct"/>
            <w:vAlign w:val="center"/>
            <w:vMerge w:val="restart"/>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GB/T </w:t>
            </w:r>
            <w:r>
              <w:rPr>
                <w:rFonts w:hint="default" w:ascii="Times New Roman" w:hAnsi="Times New Roman" w:eastAsia="仿宋" w:cs="Times New Roman"/>
                <w:color w:val="auto"/>
                <w:sz w:val="18"/>
                <w:szCs w:val="18"/>
                <w:highlight w:val="none"/>
              </w:rPr>
              <w:t xml:space="preserve">3917.3</w:t>
            </w:r>
            <w:r/>
          </w:p>
        </w:tc>
      </w:tr>
      <w:tr>
        <w:trPr>
          <w:cantSplit/>
          <w:jc w:val="center"/>
          <w:trHeight w:val="367"/>
        </w:trPr>
        <w:tc>
          <w:tcPr>
            <w:tcW w:w="1198" w:type="pct"/>
            <w:vAlign w:val="center"/>
            <w:vMerge w:val="continue"/>
            <w:textDirection w:val="lrTb"/>
            <w:noWrap w:val="false"/>
          </w:tcPr>
          <w:p>
            <w:pPr>
              <w:jc w:val="center"/>
              <w:spacing w:line="0" w:lineRule="atLeast"/>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r>
            <w:r/>
          </w:p>
        </w:tc>
        <w:tc>
          <w:tcPr>
            <w:tcW w:w="774"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纬 向</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≥30 </w:t>
            </w:r>
            <w:r/>
          </w:p>
        </w:tc>
        <w:tc>
          <w:tcPr>
            <w:tcW w:w="1913" w:type="pct"/>
            <w:vAlign w:val="center"/>
            <w:vMerge w:val="continue"/>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cantSplit/>
          <w:jc w:val="center"/>
          <w:trHeight w:val="399"/>
        </w:trPr>
        <w:tc>
          <w:tcPr>
            <w:gridSpan w:val="2"/>
            <w:tcW w:w="1973"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静水压，  kPa</w:t>
            </w:r>
            <w:r/>
          </w:p>
        </w:tc>
        <w:tc>
          <w:tcPr>
            <w:tcW w:w="1115"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≥4.0</w:t>
            </w:r>
            <w:r/>
          </w:p>
        </w:tc>
        <w:tc>
          <w:tcPr>
            <w:tcW w:w="1913" w:type="pct"/>
            <w:vAlign w:val="center"/>
            <w:textDirection w:val="lrTb"/>
            <w:noWrap w:val="false"/>
          </w:tcPr>
          <w:p>
            <w:pPr>
              <w:jc w:val="center"/>
              <w:spacing w:line="0" w:lineRule="atLeas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GB/T 4744</w:t>
            </w:r>
            <w:r/>
          </w:p>
        </w:tc>
      </w:tr>
    </w:tbl>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1054"/>
        <w:numPr>
          <w:ilvl w:val="0"/>
          <w:numId w:val="13"/>
        </w:numPr>
        <w:ind w:left="0"/>
        <w:keepNext w:val="0"/>
        <w:spacing w:after="200"/>
        <w:rPr>
          <w:rFonts w:hint="default" w:ascii="Times New Roman" w:hAnsi="Times New Roman" w:cs="Times New Roman"/>
          <w:color w:val="auto"/>
          <w:highlight w:val="none"/>
        </w:rPr>
      </w:pPr>
      <w:r/>
      <w:bookmarkStart w:id="1115" w:name="_Toc49033534"/>
      <w:r/>
      <w:bookmarkEnd w:id="1115"/>
      <w:r/>
      <w:bookmarkStart w:id="1116" w:name="_Toc28798"/>
      <w:r/>
      <w:bookmarkEnd w:id="1116"/>
      <w:r/>
      <w:bookmarkStart w:id="1117" w:name="_Toc49120559"/>
      <w:r/>
      <w:bookmarkEnd w:id="1117"/>
      <w:r/>
      <w:bookmarkStart w:id="1118" w:name="_Toc49032442"/>
      <w:r/>
      <w:bookmarkEnd w:id="1118"/>
      <w:r/>
      <w:bookmarkStart w:id="1119" w:name="_Toc4019"/>
      <w:r/>
      <w:bookmarkEnd w:id="1119"/>
      <w:r/>
      <w:bookmarkStart w:id="1120" w:name="_Toc49092056"/>
      <w:r/>
      <w:bookmarkEnd w:id="1120"/>
      <w:r/>
      <w:r/>
    </w:p>
    <w:p>
      <w:pPr>
        <w:jc w:val="center"/>
        <w:rPr>
          <w:rFonts w:hint="default" w:ascii="Times New Roman" w:hAnsi="Times New Roman" w:eastAsia="黑体" w:cs="Times New Roman"/>
          <w:color w:val="auto"/>
          <w:szCs w:val="24"/>
          <w:highlight w:val="none"/>
        </w:rPr>
      </w:pPr>
      <w:r>
        <w:rPr>
          <w:rFonts w:hint="default" w:ascii="Times New Roman" w:hAnsi="Times New Roman" w:eastAsia="黑体" w:cs="Times New Roman"/>
          <w:color w:val="auto"/>
          <w:szCs w:val="24"/>
          <w:highlight w:val="none"/>
        </w:rPr>
        <w:t xml:space="preserve"> </w:t>
      </w:r>
      <w:bookmarkStart w:id="1121" w:name="_Toc634"/>
      <w:r/>
      <w:bookmarkStart w:id="1122" w:name="_Toc6409"/>
      <w:r>
        <w:rPr>
          <w:rFonts w:hint="default" w:ascii="Times New Roman" w:hAnsi="Times New Roman" w:eastAsia="黑体" w:cs="Times New Roman"/>
          <w:color w:val="auto"/>
          <w:szCs w:val="24"/>
          <w:highlight w:val="none"/>
        </w:rPr>
        <w:t xml:space="preserve">(规范性附录)</w:t>
      </w:r>
      <w:bookmarkEnd w:id="1121"/>
      <w:r/>
      <w:bookmarkEnd w:id="1122"/>
      <w:r/>
      <w:r/>
    </w:p>
    <w:p>
      <w:pPr>
        <w:jc w:val="center"/>
        <w:rPr>
          <w:rFonts w:hint="default" w:ascii="Times New Roman" w:hAnsi="Times New Roman" w:eastAsia="黑体" w:cs="Times New Roman"/>
          <w:color w:val="auto"/>
          <w:szCs w:val="24"/>
          <w:highlight w:val="none"/>
        </w:rPr>
      </w:pPr>
      <w:r/>
      <w:bookmarkStart w:id="1123" w:name="_Toc1465"/>
      <w:r/>
      <w:bookmarkStart w:id="1124" w:name="_Toc16123"/>
      <w:r>
        <w:rPr>
          <w:rFonts w:hint="default" w:ascii="Times New Roman" w:hAnsi="Times New Roman" w:eastAsia="黑体" w:cs="Times New Roman"/>
          <w:color w:val="auto"/>
          <w:szCs w:val="24"/>
          <w:highlight w:val="none"/>
        </w:rPr>
        <w:t xml:space="preserve">铝合金管技术要求</w:t>
      </w:r>
      <w:bookmarkEnd w:id="1123"/>
      <w:r/>
      <w:bookmarkEnd w:id="1124"/>
      <w:r/>
      <w:r/>
    </w:p>
    <w:p>
      <w:pPr>
        <w:pStyle w:val="104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55"/>
        <w:numPr>
          <w:ilvl w:val="1"/>
          <w:numId w:val="13"/>
        </w:numPr>
        <w:ind w:left="-16"/>
        <w:spacing w:before="156" w:after="156"/>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铝合金管</w:t>
      </w:r>
      <w:r/>
    </w:p>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t xml:space="preserve">  </w:t>
      </w:r>
      <w:bookmarkStart w:id="1125" w:name="_Toc2776"/>
      <w:r>
        <w:rPr>
          <w:rFonts w:hint="default" w:ascii="Times New Roman" w:hAnsi="Times New Roman" w:eastAsia="仿宋" w:cs="Times New Roman"/>
          <w:color w:val="auto"/>
          <w:szCs w:val="24"/>
          <w:highlight w:val="none"/>
        </w:rPr>
        <w:t xml:space="preserve">  Φ25 mm×1.2mm铝合金管的性能指标及试验方法要求见表M.1。</w:t>
      </w:r>
      <w:bookmarkEnd w:id="1125"/>
      <w:r/>
      <w:r/>
    </w:p>
    <w:p>
      <w:pPr>
        <w:pStyle w:val="1044"/>
        <w:ind w:firstLine="0"/>
        <w:jc w:val="center"/>
        <w:rPr>
          <w:rFonts w:hint="default" w:ascii="Times New Roman" w:hAnsi="Times New Roman" w:eastAsia="黑体" w:cs="Times New Roman"/>
          <w:color w:val="auto"/>
          <w:highlight w:val="none"/>
        </w:rPr>
      </w:pPr>
      <w:r>
        <w:rPr>
          <w:rFonts w:hint="default" w:ascii="Times New Roman" w:hAnsi="Times New Roman" w:eastAsia="黑体" w:cs="Times New Roman"/>
          <w:color w:val="auto"/>
          <w:szCs w:val="21"/>
          <w:highlight w:val="none"/>
        </w:rPr>
        <w:t xml:space="preserve">表M.1 铝合金管性能</w:t>
      </w:r>
      <w:r/>
    </w:p>
    <w:p>
      <w:pPr>
        <w:rPr>
          <w:rFonts w:hint="default" w:ascii="Times New Roman" w:hAnsi="Times New Roman" w:eastAsia="仿宋" w:cs="Times New Roman"/>
          <w:b/>
          <w:bCs/>
          <w:color w:val="auto"/>
          <w:sz w:val="18"/>
          <w:szCs w:val="18"/>
          <w:highlight w:val="none"/>
        </w:rPr>
      </w:pPr>
      <w:r>
        <w:rPr>
          <w:rFonts w:hint="default" w:ascii="Times New Roman" w:hAnsi="Times New Roman" w:eastAsia="仿宋" w:cs="Times New Roman"/>
          <w:b/>
          <w:bCs/>
          <w:color w:val="auto"/>
          <w:sz w:val="18"/>
          <w:szCs w:val="18"/>
          <w:highlight w:val="none"/>
        </w:rPr>
      </w:r>
      <w:r/>
    </w:p>
    <w:tbl>
      <w:tblPr>
        <w:tblStyle w:val="848"/>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73"/>
        <w:gridCol w:w="2395"/>
        <w:gridCol w:w="2600"/>
        <w:gridCol w:w="2601"/>
      </w:tblGrid>
      <w:tr>
        <w:trPr>
          <w:jc w:val="center"/>
          <w:trHeight w:val="510"/>
        </w:trPr>
        <w:tc>
          <w:tcPr>
            <w:gridSpan w:val="2"/>
            <w:tcBorders>
              <w:top w:val="single" w:color="auto" w:sz="12" w:space="0"/>
              <w:left w:val="single" w:color="auto" w:sz="12" w:space="0"/>
              <w:bottom w:val="single" w:color="auto" w:sz="12" w:space="0"/>
              <w:right w:val="single" w:color="auto" w:sz="12" w:space="0"/>
            </w:tcBorders>
            <w:tcW w:w="2164"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项目</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指标</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试验方法</w:t>
            </w:r>
            <w:r/>
          </w:p>
        </w:tc>
      </w:tr>
      <w:tr>
        <w:trPr>
          <w:jc w:val="center"/>
          <w:trHeight w:val="510"/>
        </w:trPr>
        <w:tc>
          <w:tcPr>
            <w:tcBorders>
              <w:top w:val="single" w:color="auto" w:sz="12" w:space="0"/>
              <w:left w:val="single" w:color="auto" w:sz="12" w:space="0"/>
              <w:bottom w:val="single" w:color="auto" w:sz="12" w:space="0"/>
              <w:right w:val="single" w:color="auto" w:sz="12" w:space="0"/>
            </w:tcBorders>
            <w:tcW w:w="85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规格</w:t>
            </w:r>
            <w:r/>
          </w:p>
        </w:tc>
        <w:tc>
          <w:tcPr>
            <w:tcBorders>
              <w:top w:val="single" w:color="auto" w:sz="12" w:space="0"/>
              <w:left w:val="single" w:color="auto" w:sz="12" w:space="0"/>
              <w:bottom w:val="single" w:color="auto" w:sz="12" w:space="0"/>
              <w:right w:val="single" w:color="auto" w:sz="12" w:space="0"/>
            </w:tcBorders>
            <w:tcW w:w="1306"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筋高+壁厚，mm</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w:t>
            </w:r>
            <w:r>
              <w:rPr>
                <w:rFonts w:hint="eastAsia" w:ascii="Times New Roman" w:hAnsi="Times New Roman" w:eastAsia="仿宋" w:cs="Times New Roman"/>
                <w:color w:val="auto"/>
                <w:sz w:val="18"/>
                <w:szCs w:val="18"/>
                <w:highlight w:val="none"/>
                <w:lang w:val="en-US" w:eastAsia="zh-CN"/>
              </w:rPr>
              <w:t xml:space="preserve">2.6</w:t>
            </w:r>
            <w:r>
              <w:rPr>
                <w:rFonts w:hint="default" w:ascii="Times New Roman" w:hAnsi="Times New Roman" w:eastAsia="仿宋" w:cs="Times New Roman"/>
                <w:color w:val="auto"/>
                <w:sz w:val="18"/>
                <w:szCs w:val="18"/>
                <w:highlight w:val="none"/>
              </w:rPr>
              <w:t xml:space="preserve">mm</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直尺、卡尺</w:t>
            </w:r>
            <w:r/>
          </w:p>
        </w:tc>
      </w:tr>
      <w:tr>
        <w:trPr>
          <w:jc w:val="center"/>
          <w:trHeight w:val="510"/>
        </w:trPr>
        <w:tc>
          <w:tcPr>
            <w:gridSpan w:val="2"/>
            <w:tcBorders>
              <w:top w:val="single" w:color="auto" w:sz="12" w:space="0"/>
              <w:left w:val="single" w:color="auto" w:sz="12" w:space="0"/>
              <w:bottom w:val="single" w:color="auto" w:sz="12" w:space="0"/>
              <w:right w:val="single" w:color="auto" w:sz="12" w:space="0"/>
            </w:tcBorders>
            <w:tcW w:w="2164"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抗拉强度，Ｒm/MPa</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≥255</w:t>
            </w:r>
            <w:r/>
          </w:p>
        </w:tc>
        <w:tc>
          <w:tcPr>
            <w:tcBorders>
              <w:top w:val="single" w:color="auto" w:sz="12" w:space="0"/>
              <w:left w:val="single" w:color="auto" w:sz="12" w:space="0"/>
              <w:right w:val="single" w:color="auto" w:sz="12" w:space="0"/>
            </w:tcBorders>
            <w:tcW w:w="1418" w:type="pct"/>
            <w:vAlign w:val="center"/>
            <w:vMerge w:val="restart"/>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GB/T 228</w:t>
            </w:r>
            <w:r/>
          </w:p>
        </w:tc>
      </w:tr>
      <w:tr>
        <w:trPr>
          <w:jc w:val="center"/>
          <w:trHeight w:val="510"/>
        </w:trPr>
        <w:tc>
          <w:tcPr>
            <w:gridSpan w:val="2"/>
            <w:tcBorders>
              <w:top w:val="single" w:color="auto" w:sz="12" w:space="0"/>
              <w:left w:val="single" w:color="auto" w:sz="12" w:space="0"/>
              <w:bottom w:val="single" w:color="auto" w:sz="12" w:space="0"/>
              <w:right w:val="single" w:color="auto" w:sz="12" w:space="0"/>
            </w:tcBorders>
            <w:tcW w:w="2164"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屈服强度，Ｒp0.2/MPa</w:t>
            </w:r>
            <w:r/>
          </w:p>
        </w:tc>
        <w:tc>
          <w:tcPr>
            <w:tcBorders>
              <w:top w:val="single" w:color="auto" w:sz="12" w:space="0"/>
              <w:left w:val="single" w:color="auto" w:sz="12" w:space="0"/>
              <w:bottom w:val="single" w:color="auto" w:sz="12" w:space="0"/>
              <w:right w:val="single" w:color="auto" w:sz="12" w:space="0"/>
            </w:tcBorders>
            <w:tcW w:w="1418" w:type="pct"/>
            <w:vAlign w:val="center"/>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≥200</w:t>
            </w:r>
            <w:r/>
          </w:p>
        </w:tc>
        <w:tc>
          <w:tcPr>
            <w:tcBorders>
              <w:left w:val="single" w:color="auto" w:sz="12" w:space="0"/>
              <w:bottom w:val="single" w:color="auto" w:sz="12" w:space="0"/>
              <w:right w:val="single" w:color="auto" w:sz="12" w:space="0"/>
            </w:tcBorders>
            <w:tcW w:w="1418" w:type="pct"/>
            <w:vAlign w:val="center"/>
            <w:vMerge w:val="continue"/>
            <w:textDirection w:val="lrTb"/>
            <w:noWrap w:val="false"/>
          </w:tcPr>
          <w:p>
            <w:pPr>
              <w:jc w:val="center"/>
              <w:spacing w:line="240" w:lineRule="exact"/>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bl>
    <w:p>
      <w:pPr>
        <w:rPr>
          <w:rFonts w:hint="default" w:ascii="Times New Roman" w:hAnsi="Times New Roman" w:eastAsia="仿宋" w:cs="Times New Roman"/>
          <w:color w:val="auto"/>
          <w:szCs w:val="24"/>
          <w:highlight w:val="none"/>
        </w:rPr>
      </w:pPr>
      <w:r>
        <w:rPr>
          <w:rFonts w:hint="default" w:ascii="Times New Roman" w:hAnsi="Times New Roman" w:eastAsia="仿宋" w:cs="Times New Roman"/>
          <w:color w:val="auto"/>
          <w:szCs w:val="24"/>
          <w:highlight w:val="none"/>
        </w:rPr>
        <w:br w:type="page" w:clear="all"/>
      </w:r>
      <w:r/>
    </w:p>
    <w:p>
      <w:pPr>
        <w:pStyle w:val="1058"/>
        <w:rPr>
          <w:rFonts w:hint="default"/>
          <w:color w:val="auto"/>
          <w:highlight w:val="none"/>
        </w:rPr>
      </w:pPr>
      <w:r>
        <w:rPr>
          <w:rFonts w:hint="default"/>
          <w:color w:val="auto"/>
          <w:highlight w:val="none"/>
        </w:rPr>
      </w:r>
      <w:r/>
    </w:p>
    <w:p>
      <w:pPr>
        <w:pStyle w:val="1054"/>
        <w:numPr>
          <w:ilvl w:val="0"/>
          <w:numId w:val="13"/>
        </w:numPr>
        <w:ind w:left="0"/>
        <w:keepNext w:val="0"/>
        <w:spacing w:after="200"/>
        <w:rPr>
          <w:rFonts w:ascii="Times New Roman"/>
          <w:color w:val="auto"/>
          <w:highlight w:val="none"/>
        </w:rPr>
      </w:pPr>
      <w:r/>
      <w:bookmarkStart w:id="1126" w:name="_Toc32179"/>
      <w:r/>
      <w:r/>
    </w:p>
    <w:p>
      <w:pPr>
        <w:jc w:val="center"/>
        <w:rPr>
          <w:rFonts w:hint="default" w:ascii="Times New Roman" w:hAnsi="Times New Roman" w:eastAsia="黑体" w:cs="Times New Roman"/>
          <w:b/>
          <w:color w:val="auto"/>
          <w:sz w:val="24"/>
          <w:szCs w:val="24"/>
          <w:highlight w:val="none"/>
        </w:rPr>
      </w:pPr>
      <w:r>
        <w:rPr>
          <w:rFonts w:hint="default" w:ascii="Times New Roman" w:hAnsi="Times New Roman" w:eastAsia="黑体" w:cs="Times New Roman"/>
          <w:color w:val="auto"/>
          <w:szCs w:val="24"/>
          <w:highlight w:val="none"/>
        </w:rPr>
        <w:t xml:space="preserve">(规范性附录)</w:t>
      </w:r>
      <w:r/>
    </w:p>
    <w:p>
      <w:pPr>
        <w:jc w:val="center"/>
        <w:rPr>
          <w:rFonts w:hint="default" w:ascii="Times New Roman" w:hAnsi="Times New Roman" w:eastAsia="黑体" w:cs="Times New Roman"/>
          <w:color w:val="auto"/>
          <w:szCs w:val="20"/>
          <w:highlight w:val="none"/>
        </w:rPr>
      </w:pPr>
      <w:r>
        <w:rPr>
          <w:rFonts w:hint="default" w:ascii="Times New Roman" w:hAnsi="Times New Roman" w:eastAsia="黑体" w:cs="Times New Roman"/>
          <w:color w:val="auto"/>
          <w:szCs w:val="20"/>
          <w:highlight w:val="none"/>
        </w:rPr>
        <w:t xml:space="preserve">缺陷分类表</w:t>
      </w:r>
      <w:bookmarkEnd w:id="1126"/>
      <w:r/>
      <w:r/>
    </w:p>
    <w:tbl>
      <w:tblPr>
        <w:tblStyle w:val="8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1775"/>
        <w:gridCol w:w="2663"/>
        <w:gridCol w:w="1924"/>
        <w:gridCol w:w="1920"/>
      </w:tblGrid>
      <w:tr>
        <w:trPr>
          <w:jc w:val="center"/>
          <w:trHeight w:val="335"/>
        </w:trPr>
        <w:tc>
          <w:tcPr>
            <w:tcBorders>
              <w:top w:val="single" w:color="auto" w:sz="12" w:space="0"/>
              <w:left w:val="single" w:color="auto" w:sz="12" w:space="0"/>
              <w:bottom w:val="single" w:color="auto" w:sz="12" w:space="0"/>
            </w:tcBorders>
            <w:tcW w:w="484" w:type="pct"/>
            <w:vAlign w:val="center"/>
            <w:textDirection w:val="lrTb"/>
            <w:noWrap w:val="false"/>
          </w:tcPr>
          <w:p>
            <w:pPr>
              <w:jc w:val="center"/>
              <w:rPr>
                <w:rFonts w:hint="default" w:ascii="Times New Roman" w:hAnsi="Times New Roman" w:eastAsia="仿宋" w:cs="Times New Roman"/>
                <w:b/>
                <w:color w:val="auto"/>
                <w:sz w:val="18"/>
                <w:szCs w:val="18"/>
                <w:highlight w:val="none"/>
              </w:rPr>
            </w:pPr>
            <w:r>
              <w:rPr>
                <w:rFonts w:hint="default" w:ascii="Times New Roman" w:hAnsi="Times New Roman" w:eastAsia="仿宋" w:cs="Times New Roman"/>
                <w:b/>
                <w:color w:val="auto"/>
                <w:sz w:val="18"/>
                <w:szCs w:val="18"/>
                <w:highlight w:val="none"/>
              </w:rPr>
              <w:t xml:space="preserve">序号</w:t>
            </w:r>
            <w:r/>
          </w:p>
        </w:tc>
        <w:tc>
          <w:tcPr>
            <w:tcBorders>
              <w:top w:val="single" w:color="auto" w:sz="12" w:space="0"/>
              <w:bottom w:val="single" w:color="auto" w:sz="12" w:space="0"/>
            </w:tcBorders>
            <w:tcW w:w="968" w:type="pct"/>
            <w:vAlign w:val="center"/>
            <w:textDirection w:val="lrTb"/>
            <w:noWrap w:val="false"/>
          </w:tcPr>
          <w:p>
            <w:pPr>
              <w:jc w:val="center"/>
              <w:rPr>
                <w:rFonts w:hint="default" w:ascii="Times New Roman" w:hAnsi="Times New Roman" w:eastAsia="仿宋" w:cs="Times New Roman"/>
                <w:b/>
                <w:color w:val="auto"/>
                <w:sz w:val="18"/>
                <w:szCs w:val="18"/>
                <w:highlight w:val="none"/>
              </w:rPr>
            </w:pPr>
            <w:r>
              <w:rPr>
                <w:rFonts w:hint="default" w:ascii="Times New Roman" w:hAnsi="Times New Roman" w:eastAsia="仿宋" w:cs="Times New Roman"/>
                <w:b/>
                <w:color w:val="auto"/>
                <w:sz w:val="18"/>
                <w:szCs w:val="18"/>
                <w:highlight w:val="none"/>
              </w:rPr>
              <w:t xml:space="preserve">检验项目</w:t>
            </w:r>
            <w:r/>
          </w:p>
        </w:tc>
        <w:tc>
          <w:tcPr>
            <w:tcBorders>
              <w:top w:val="single" w:color="auto" w:sz="12" w:space="0"/>
              <w:bottom w:val="single" w:color="auto" w:sz="12" w:space="0"/>
            </w:tcBorders>
            <w:tcW w:w="1452" w:type="pct"/>
            <w:vAlign w:val="center"/>
            <w:textDirection w:val="lrTb"/>
            <w:noWrap w:val="false"/>
          </w:tcPr>
          <w:p>
            <w:pPr>
              <w:ind w:firstLine="181"/>
              <w:jc w:val="center"/>
              <w:rPr>
                <w:rFonts w:hint="default" w:ascii="Times New Roman" w:hAnsi="Times New Roman" w:eastAsia="仿宋" w:cs="Times New Roman"/>
                <w:b/>
                <w:color w:val="auto"/>
                <w:sz w:val="18"/>
                <w:szCs w:val="18"/>
                <w:highlight w:val="none"/>
              </w:rPr>
            </w:pPr>
            <w:r>
              <w:rPr>
                <w:rFonts w:hint="default" w:ascii="Times New Roman" w:hAnsi="Times New Roman" w:eastAsia="仿宋" w:cs="Times New Roman"/>
                <w:b/>
                <w:color w:val="auto"/>
                <w:sz w:val="18"/>
                <w:szCs w:val="18"/>
                <w:highlight w:val="none"/>
              </w:rPr>
              <w:t xml:space="preserve">轻度缺陷</w:t>
            </w:r>
            <w:r/>
          </w:p>
        </w:tc>
        <w:tc>
          <w:tcPr>
            <w:tcBorders>
              <w:top w:val="single" w:color="auto" w:sz="12" w:space="0"/>
              <w:bottom w:val="single" w:color="auto" w:sz="12" w:space="0"/>
            </w:tcBorders>
            <w:tcW w:w="1049" w:type="pct"/>
            <w:vAlign w:val="center"/>
            <w:textDirection w:val="lrTb"/>
            <w:noWrap w:val="false"/>
          </w:tcPr>
          <w:p>
            <w:pPr>
              <w:ind w:firstLine="181"/>
              <w:jc w:val="center"/>
              <w:rPr>
                <w:rFonts w:hint="default" w:ascii="Times New Roman" w:hAnsi="Times New Roman" w:eastAsia="仿宋" w:cs="Times New Roman"/>
                <w:b/>
                <w:color w:val="auto"/>
                <w:sz w:val="18"/>
                <w:szCs w:val="18"/>
                <w:highlight w:val="none"/>
              </w:rPr>
            </w:pPr>
            <w:r>
              <w:rPr>
                <w:rFonts w:hint="default" w:ascii="Times New Roman" w:hAnsi="Times New Roman" w:eastAsia="仿宋" w:cs="Times New Roman"/>
                <w:b/>
                <w:color w:val="auto"/>
                <w:sz w:val="18"/>
                <w:szCs w:val="18"/>
                <w:highlight w:val="none"/>
              </w:rPr>
              <w:t xml:space="preserve">重缺陷</w:t>
            </w:r>
            <w:r/>
          </w:p>
        </w:tc>
        <w:tc>
          <w:tcPr>
            <w:tcBorders>
              <w:top w:val="single" w:color="auto" w:sz="12" w:space="0"/>
              <w:bottom w:val="single" w:color="auto" w:sz="12" w:space="0"/>
              <w:right w:val="single" w:color="auto" w:sz="12" w:space="0"/>
            </w:tcBorders>
            <w:tcW w:w="1048" w:type="pct"/>
            <w:vAlign w:val="center"/>
            <w:textDirection w:val="lrTb"/>
            <w:noWrap w:val="false"/>
          </w:tcPr>
          <w:p>
            <w:pPr>
              <w:ind w:firstLine="181"/>
              <w:jc w:val="center"/>
              <w:rPr>
                <w:rFonts w:hint="default" w:ascii="Times New Roman" w:hAnsi="Times New Roman" w:eastAsia="仿宋" w:cs="Times New Roman"/>
                <w:b/>
                <w:color w:val="auto"/>
                <w:sz w:val="18"/>
                <w:szCs w:val="18"/>
                <w:highlight w:val="none"/>
              </w:rPr>
            </w:pPr>
            <w:r>
              <w:rPr>
                <w:rFonts w:hint="default" w:ascii="Times New Roman" w:hAnsi="Times New Roman" w:eastAsia="仿宋" w:cs="Times New Roman"/>
                <w:b/>
                <w:color w:val="auto"/>
                <w:sz w:val="18"/>
                <w:szCs w:val="18"/>
                <w:highlight w:val="none"/>
              </w:rPr>
              <w:t xml:space="preserve">严重缺陷</w:t>
            </w:r>
            <w:r/>
          </w:p>
        </w:tc>
      </w:tr>
      <w:tr>
        <w:trPr>
          <w:jc w:val="center"/>
        </w:trPr>
        <w:tc>
          <w:tcPr>
            <w:tcBorders>
              <w:top w:val="single" w:color="auto" w:sz="12" w:space="0"/>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1</w:t>
            </w:r>
            <w:r/>
          </w:p>
        </w:tc>
        <w:tc>
          <w:tcPr>
            <w:tcBorders>
              <w:top w:val="single" w:color="auto" w:sz="12" w:space="0"/>
            </w:tcBorders>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齐套性</w:t>
            </w:r>
            <w:r/>
          </w:p>
        </w:tc>
        <w:tc>
          <w:tcPr>
            <w:tcBorders>
              <w:top w:val="single" w:color="auto" w:sz="12" w:space="0"/>
            </w:tcBorders>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说明书、合格证、窗纱缺少。</w:t>
            </w:r>
            <w:r/>
          </w:p>
        </w:tc>
        <w:tc>
          <w:tcPr>
            <w:tcBorders>
              <w:top w:val="single" w:color="auto" w:sz="12" w:space="0"/>
            </w:tcBorders>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地桩、拉绳缺少。</w:t>
            </w:r>
            <w:r/>
          </w:p>
        </w:tc>
        <w:tc>
          <w:tcPr>
            <w:tcBorders>
              <w:top w:val="single" w:color="auto" w:sz="12" w:space="0"/>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篷体部件、框架有缺件。</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2</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标志</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包装及部件代号不全</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包装及部件代号全部缺失。</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3</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帐篷</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外形尺寸</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基本尺寸偏差不影响外观。</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基本尺寸偏差影响外观。</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框架与篷体尺寸不匹配，导致帐篷无法架设。</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4</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篷体部分</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加工质量</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色差超标，缝纫缺陷，绳带头防散未处理。</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带管三角环、连环带、收紧带、尼龙搭扣等漏缝及错缝。</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门、窗帘等漏缝。部件缝制位置严重错位，影响帐篷正常使用。</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5</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篷体主要</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原材料质量</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篷布有明显的斑渍、死折、露白等现象。</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篷布的断裂强力、静水压，阻燃性能和规范要求不符。</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6</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框架</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加工质量</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部件组装位置、配合、切口不符合要求。</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框架零件漏装或装配错误。杆件抽插困难。</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杆件表面裂纹、断裂等严重缺陷。</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7</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框架主要</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原材料质量</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管件表面出现掉皮、气泡和色浅现象。</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管件偏心度超过0.2mm，壁厚尺寸下偏差在公称尺寸的11～13%范围内。</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管件偏心度超过0.3mm，壁厚尺寸下偏差超过公称尺寸的13%。表面出现严重气泡。</w:t>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8</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辅料</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和配件</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带管三角环、尼龙搭扣、织带、地桩、拉绳、窗纱等外观不符合要求。</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带管三角环、尼龙搭扣、织带、地桩、拉绳、窗纱等规格尺寸不符合标准要求。</w:t>
            </w:r>
            <w:r/>
          </w:p>
        </w:tc>
        <w:tc>
          <w:tcPr>
            <w:tcBorders>
              <w:right w:val="single" w:color="auto" w:sz="12" w:space="0"/>
            </w:tcBorders>
            <w:tcW w:w="1048" w:type="pct"/>
            <w:vAlign w:val="top"/>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r>
            <w:r/>
          </w:p>
        </w:tc>
      </w:tr>
      <w:tr>
        <w:trPr>
          <w:jc w:val="center"/>
        </w:trPr>
        <w:tc>
          <w:tcPr>
            <w:tcBorders>
              <w:left w:val="single" w:color="auto" w:sz="12" w:space="0"/>
            </w:tcBorders>
            <w:tcW w:w="484" w:type="pct"/>
            <w:vAlign w:val="center"/>
            <w:textDirection w:val="lrTb"/>
            <w:noWrap w:val="false"/>
          </w:tcPr>
          <w:p>
            <w:pPr>
              <w:jc w:val="cente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9</w:t>
            </w:r>
            <w:r/>
          </w:p>
        </w:tc>
        <w:tc>
          <w:tcPr>
            <w:tcW w:w="968" w:type="pct"/>
            <w:vAlign w:val="center"/>
            <w:textDirection w:val="lrTb"/>
            <w:noWrap w:val="false"/>
          </w:tcPr>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防雨</w:t>
            </w:r>
            <w:r/>
          </w:p>
          <w:p>
            <w:pPr>
              <w:jc w:val="center"/>
              <w:rPr>
                <w:rFonts w:hint="default" w:ascii="Times New Roman" w:hAnsi="Times New Roman" w:eastAsia="仿宋" w:cs="Times New Roman"/>
                <w:bCs/>
                <w:color w:val="auto"/>
                <w:sz w:val="18"/>
                <w:szCs w:val="18"/>
                <w:highlight w:val="none"/>
              </w:rPr>
            </w:pPr>
            <w:r>
              <w:rPr>
                <w:rFonts w:hint="default" w:ascii="Times New Roman" w:hAnsi="Times New Roman" w:eastAsia="仿宋" w:cs="Times New Roman"/>
                <w:bCs/>
                <w:color w:val="auto"/>
                <w:sz w:val="18"/>
                <w:szCs w:val="18"/>
                <w:highlight w:val="none"/>
              </w:rPr>
              <w:t xml:space="preserve">抗渗漏性</w:t>
            </w:r>
            <w:r/>
          </w:p>
        </w:tc>
        <w:tc>
          <w:tcPr>
            <w:tcW w:w="1452"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篷布接缝部位出现少量渗水但未出现滴水现象。</w:t>
            </w:r>
            <w:r/>
          </w:p>
        </w:tc>
        <w:tc>
          <w:tcPr>
            <w:tcW w:w="1049"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篷布出现渗水但未出现滴水现象。</w:t>
            </w:r>
            <w:r/>
          </w:p>
        </w:tc>
        <w:tc>
          <w:tcPr>
            <w:tcBorders>
              <w:right w:val="single" w:color="auto" w:sz="12" w:space="0"/>
            </w:tcBorders>
            <w:tcW w:w="1048" w:type="pct"/>
            <w:vAlign w:val="center"/>
            <w:textDirection w:val="lrTb"/>
            <w:noWrap w:val="false"/>
          </w:tcPr>
          <w:p>
            <w:pPr>
              <w:rPr>
                <w:rFonts w:hint="default" w:ascii="Times New Roman" w:hAnsi="Times New Roman" w:eastAsia="仿宋" w:cs="Times New Roman"/>
                <w:color w:val="auto"/>
                <w:sz w:val="18"/>
                <w:szCs w:val="18"/>
                <w:highlight w:val="none"/>
              </w:rPr>
            </w:pPr>
            <w:r>
              <w:rPr>
                <w:rFonts w:hint="default" w:ascii="Times New Roman" w:hAnsi="Times New Roman" w:eastAsia="仿宋" w:cs="Times New Roman"/>
                <w:color w:val="auto"/>
                <w:sz w:val="18"/>
                <w:szCs w:val="18"/>
                <w:highlight w:val="none"/>
              </w:rPr>
              <w:t xml:space="preserve">篷布出现连续滴漏现象。</w:t>
            </w:r>
            <w:r/>
          </w:p>
        </w:tc>
      </w:tr>
      <w:tr>
        <w:trPr>
          <w:jc w:val="center"/>
        </w:trPr>
        <w:tc>
          <w:tcPr>
            <w:gridSpan w:val="5"/>
            <w:tcBorders>
              <w:left w:val="single" w:color="auto" w:sz="12" w:space="0"/>
              <w:bottom w:val="single" w:color="auto" w:sz="12" w:space="0"/>
              <w:right w:val="single" w:color="auto" w:sz="12" w:space="0"/>
            </w:tcBorders>
            <w:tcW w:w="5000" w:type="pct"/>
            <w:vAlign w:val="top"/>
            <w:textDirection w:val="lrTb"/>
            <w:noWrap w:val="false"/>
          </w:tcPr>
          <w:p>
            <w:pPr>
              <w:jc w:val="lef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18"/>
                <w:szCs w:val="18"/>
                <w:highlight w:val="none"/>
              </w:rPr>
              <w:t xml:space="preserve">注： 轻度缺陷指不影响使用功能的缺陷；重缺陷指通过换件小修可排除的缺陷；严重缺陷指影响帐篷使用功能必须返厂维修的缺陷。</w:t>
            </w:r>
            <w:r/>
          </w:p>
        </w:tc>
      </w:tr>
    </w:tbl>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jc w:val="center"/>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br w:type="page" w:clear="all"/>
      </w:r>
      <w:r/>
    </w:p>
    <w:p>
      <w:pPr>
        <w:jc w:val="left"/>
        <w:keepLines w:val="0"/>
        <w:keepNext w:val="0"/>
        <w:pageBreakBefore w:val="0"/>
        <w:spacing w:after="0" w:line="600" w:lineRule="exact"/>
        <w:widowControl w:val="off"/>
        <w:rPr>
          <w:rFonts w:hint="default" w:ascii="Times New Roman" w:hAnsi="Times New Roman" w:eastAsia="方正黑体_GBK" w:cs="Times New Roman"/>
          <w:b w:val="0"/>
          <w:bCs w:val="0"/>
          <w:color w:val="auto"/>
          <w:sz w:val="32"/>
          <w:szCs w:val="32"/>
          <w:highlight w:val="none"/>
          <w:lang w:val="en-US" w:eastAsia="zh-CN" w:bidi="ar-SA"/>
        </w:rPr>
      </w:pPr>
      <w:r>
        <w:rPr>
          <w:rFonts w:hint="default" w:ascii="Times New Roman" w:hAnsi="Times New Roman" w:eastAsia="方正黑体_GBK" w:cs="Times New Roman"/>
          <w:b w:val="0"/>
          <w:bCs w:val="0"/>
          <w:color w:val="auto"/>
          <w:sz w:val="32"/>
          <w:szCs w:val="32"/>
          <w:highlight w:val="none"/>
          <w:lang w:val="en-US" w:eastAsia="zh-CN" w:bidi="ar-SA"/>
        </w:rPr>
        <w:t xml:space="preserve">附件2</w:t>
      </w:r>
      <w:r/>
    </w:p>
    <w:p>
      <w:pPr>
        <w:jc w:val="left"/>
        <w:keepLines w:val="0"/>
        <w:keepNext w:val="0"/>
        <w:pageBreakBefore w:val="0"/>
        <w:spacing w:after="0" w:line="600" w:lineRule="exact"/>
        <w:widowControl w:val="off"/>
        <w:rPr>
          <w:rFonts w:hint="default" w:ascii="Times New Roman" w:hAnsi="Times New Roman" w:eastAsia="方正黑体_GBK" w:cs="Times New Roman"/>
          <w:b w:val="0"/>
          <w:bCs w:val="0"/>
          <w:color w:val="auto"/>
          <w:sz w:val="32"/>
          <w:szCs w:val="32"/>
          <w:highlight w:val="none"/>
          <w:lang w:val="en-US" w:eastAsia="zh-CN" w:bidi="ar-SA"/>
        </w:rPr>
      </w:pPr>
      <w:r>
        <w:rPr>
          <w:rFonts w:hint="default" w:ascii="Times New Roman" w:hAnsi="Times New Roman" w:eastAsia="方正黑体_GBK" w:cs="Times New Roman"/>
          <w:b w:val="0"/>
          <w:bCs w:val="0"/>
          <w:color w:val="auto"/>
          <w:sz w:val="32"/>
          <w:szCs w:val="32"/>
          <w:highlight w:val="none"/>
          <w:lang w:val="en-US" w:eastAsia="zh-CN" w:bidi="ar-SA"/>
        </w:rPr>
      </w:r>
      <w:r/>
    </w:p>
    <w:p>
      <w:pPr>
        <w:jc w:val="center"/>
        <w:keepLines w:val="0"/>
        <w:keepNext w:val="0"/>
        <w:pageBreakBefore w:val="0"/>
        <w:spacing w:after="0" w:line="600" w:lineRule="exact"/>
        <w:widowControl w:val="off"/>
        <w:rPr>
          <w:rFonts w:hint="eastAsia" w:ascii="黑体" w:hAnsi="黑体" w:eastAsia="黑体" w:cs="黑体"/>
          <w:sz w:val="44"/>
          <w:szCs w:val="44"/>
        </w:rPr>
      </w:pPr>
      <w:r>
        <w:rPr>
          <w:rFonts w:hint="eastAsia" w:ascii="黑体" w:hAnsi="黑体" w:eastAsia="黑体" w:cs="黑体"/>
          <w:sz w:val="44"/>
          <w:szCs w:val="44"/>
        </w:rPr>
        <w:t xml:space="preserve">应急救灾物资标识推广使用指南</w:t>
      </w:r>
      <w:r/>
    </w:p>
    <w:p>
      <w:pPr>
        <w:ind w:firstLine="640"/>
        <w:keepLines w:val="0"/>
        <w:keepNext w:val="0"/>
        <w:pageBreakBefore w:val="0"/>
        <w:spacing w:after="0" w:line="600" w:lineRule="exact"/>
        <w:widowControl w:val="off"/>
        <w:rPr>
          <w:rFonts w:hint="eastAsia" w:ascii="宋体" w:hAnsi="宋体" w:eastAsia="方正仿宋_GBK" w:cs="方正仿宋_GBK"/>
          <w:sz w:val="32"/>
          <w:szCs w:val="32"/>
          <w:lang w:val="en-US" w:eastAsia="zh-CN"/>
        </w:rPr>
      </w:pPr>
      <w:r>
        <w:rPr>
          <w:rFonts w:hint="eastAsia" w:ascii="宋体" w:hAnsi="宋体" w:eastAsia="方正仿宋_GBK" w:cs="方正仿宋_GBK"/>
          <w:sz w:val="32"/>
          <w:szCs w:val="32"/>
          <w:lang w:val="en-US" w:eastAsia="zh-CN"/>
        </w:rPr>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第一条</w:t>
      </w:r>
      <w:r>
        <w:rPr>
          <w:rFonts w:hint="eastAsia" w:ascii="黑体" w:hAnsi="黑体" w:eastAsia="黑体" w:cs="黑体"/>
          <w:sz w:val="32"/>
          <w:szCs w:val="32"/>
          <w:lang w:val="en-US" w:eastAsia="zh-CN"/>
        </w:rPr>
        <w:t xml:space="preserve"> 为进一步加强各级应急救灾物资管理，规范应急救灾物资标识，</w:t>
      </w:r>
      <w:r>
        <w:rPr>
          <w:rFonts w:hint="eastAsia" w:ascii="黑体" w:hAnsi="黑体" w:eastAsia="黑体" w:cs="黑体"/>
          <w:sz w:val="32"/>
          <w:szCs w:val="32"/>
        </w:rPr>
        <w:t xml:space="preserve">制定本指南。</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第二条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本指南所称应急救灾物资，是指为有效应对自然灾害所必需的受灾人员基本生活保障物资。</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第三条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应急救灾物资标识（以下简称标识），融合了红色飘带意象和应急管理部英文首字母缩写“MEM”，造型为“MEM”三个字母的变体，同时内嵌三个心形，寓意</w:t>
      </w:r>
      <w:r>
        <w:rPr>
          <w:rFonts w:hint="eastAsia" w:ascii="黑体" w:hAnsi="黑体" w:eastAsia="黑体" w:cs="黑体"/>
          <w:sz w:val="32"/>
          <w:szCs w:val="32"/>
          <w:lang w:eastAsia="zh-CN"/>
        </w:rPr>
        <w:t xml:space="preserve">党和政府</w:t>
      </w:r>
      <w:r>
        <w:rPr>
          <w:rFonts w:hint="eastAsia" w:ascii="黑体" w:hAnsi="黑体" w:eastAsia="黑体" w:cs="黑体"/>
          <w:sz w:val="32"/>
          <w:szCs w:val="32"/>
        </w:rPr>
        <w:t xml:space="preserve">与</w:t>
      </w:r>
      <w:r>
        <w:rPr>
          <w:rFonts w:hint="eastAsia" w:ascii="黑体" w:hAnsi="黑体" w:eastAsia="黑体" w:cs="黑体"/>
          <w:sz w:val="32"/>
          <w:szCs w:val="32"/>
          <w:lang w:val="en-US" w:eastAsia="zh-CN"/>
        </w:rPr>
        <w:t xml:space="preserve">受灾</w:t>
      </w:r>
      <w:r>
        <w:rPr>
          <w:rFonts w:hint="eastAsia" w:ascii="黑体" w:hAnsi="黑体" w:eastAsia="黑体" w:cs="黑体"/>
          <w:sz w:val="32"/>
          <w:szCs w:val="32"/>
          <w:lang w:eastAsia="zh-CN"/>
        </w:rPr>
        <w:t xml:space="preserve">群众</w:t>
      </w:r>
      <w:r>
        <w:rPr>
          <w:rFonts w:hint="eastAsia" w:ascii="黑体" w:hAnsi="黑体" w:eastAsia="黑体" w:cs="黑体"/>
          <w:sz w:val="32"/>
          <w:szCs w:val="32"/>
        </w:rPr>
        <w:t xml:space="preserve">万众一心、</w:t>
      </w:r>
      <w:r>
        <w:rPr>
          <w:rFonts w:hint="eastAsia" w:ascii="黑体" w:hAnsi="黑体" w:eastAsia="黑体" w:cs="黑体"/>
          <w:sz w:val="32"/>
          <w:szCs w:val="32"/>
          <w:lang w:eastAsia="zh-CN"/>
        </w:rPr>
        <w:t xml:space="preserve">众志成城、</w:t>
      </w:r>
      <w:r>
        <w:rPr>
          <w:rFonts w:hint="eastAsia" w:ascii="黑体" w:hAnsi="黑体" w:eastAsia="黑体" w:cs="黑体"/>
          <w:sz w:val="32"/>
          <w:szCs w:val="32"/>
        </w:rPr>
        <w:t xml:space="preserve">同甘共苦</w:t>
      </w:r>
      <w:r>
        <w:rPr>
          <w:rFonts w:hint="eastAsia" w:ascii="黑体" w:hAnsi="黑体" w:eastAsia="黑体" w:cs="黑体"/>
          <w:sz w:val="32"/>
          <w:szCs w:val="32"/>
          <w:lang w:eastAsia="zh-CN"/>
        </w:rPr>
        <w:t xml:space="preserve">、顽强拼搏</w:t>
      </w:r>
      <w:r>
        <w:rPr>
          <w:rFonts w:hint="eastAsia" w:ascii="黑体" w:hAnsi="黑体" w:eastAsia="黑体" w:cs="黑体"/>
          <w:sz w:val="32"/>
          <w:szCs w:val="32"/>
        </w:rPr>
        <w:t xml:space="preserve">的团结救灾精神。标识以中国红为主基调，寓意关爱、祥瑞、希望</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整体如三叶草造型，象征蓬勃的生命力、幸运和吉祥，底部呈“人”字形，寓意应急救灾工作坚持</w:t>
      </w:r>
      <w:r>
        <w:rPr>
          <w:rFonts w:hint="eastAsia" w:ascii="黑体" w:hAnsi="黑体" w:eastAsia="黑体" w:cs="黑体"/>
          <w:sz w:val="32"/>
          <w:szCs w:val="32"/>
          <w:lang w:eastAsia="zh-CN"/>
        </w:rPr>
        <w:t xml:space="preserve">人民至上</w:t>
      </w:r>
      <w:r>
        <w:rPr>
          <w:rFonts w:hint="eastAsia" w:ascii="黑体" w:hAnsi="黑体" w:eastAsia="黑体" w:cs="黑体"/>
          <w:sz w:val="32"/>
          <w:szCs w:val="32"/>
        </w:rPr>
        <w:t xml:space="preserve">、生命至上</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“应急救灾”字体颜色为“应急蓝”，象征保障人民群众生命财产安全的</w:t>
      </w:r>
      <w:r>
        <w:rPr>
          <w:rFonts w:hint="eastAsia" w:ascii="黑体" w:hAnsi="黑体" w:eastAsia="黑体" w:cs="黑体"/>
          <w:sz w:val="32"/>
          <w:szCs w:val="32"/>
          <w:lang w:eastAsia="zh-CN"/>
        </w:rPr>
        <w:t xml:space="preserve">坚强意志</w:t>
      </w:r>
      <w:r>
        <w:rPr>
          <w:rFonts w:hint="eastAsia" w:ascii="黑体" w:hAnsi="黑体" w:eastAsia="黑体" w:cs="黑体"/>
          <w:sz w:val="32"/>
          <w:szCs w:val="32"/>
        </w:rPr>
        <w:t xml:space="preserve">和决心。</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第四条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标识颜色分为彩色和白色两个版本，根据场景需要选择使用，也可视情进行反白处理等特殊印刷工艺。</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第五条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标识图案可单独使用，在特定面积内，设其高度为1，则标识高度比例为0.6；搭配“应急救灾”字样使用时，标识高度比例为0.8。实际</w:t>
      </w:r>
      <w:r>
        <w:rPr>
          <w:rFonts w:hint="eastAsia" w:ascii="黑体" w:hAnsi="黑体" w:eastAsia="黑体" w:cs="黑体"/>
          <w:sz w:val="32"/>
          <w:szCs w:val="32"/>
          <w:lang w:val="en-US" w:eastAsia="zh-CN"/>
        </w:rPr>
        <w:t xml:space="preserve">使用</w:t>
      </w:r>
      <w:r>
        <w:rPr>
          <w:rFonts w:hint="eastAsia" w:ascii="黑体" w:hAnsi="黑体" w:eastAsia="黑体" w:cs="黑体"/>
          <w:sz w:val="32"/>
          <w:szCs w:val="32"/>
        </w:rPr>
        <w:t xml:space="preserve">时，应协调布局，给标识留出足够空间，根据场景不同，尺寸、字号匹配调整。</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第六条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 xml:space="preserve">标识</w:t>
      </w:r>
      <w:r>
        <w:rPr>
          <w:rFonts w:hint="eastAsia" w:ascii="黑体" w:hAnsi="黑体" w:eastAsia="黑体" w:cs="黑体"/>
          <w:sz w:val="32"/>
          <w:szCs w:val="32"/>
        </w:rPr>
        <w:t xml:space="preserve">可用于以下场景：</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1.印制于各级采购的应急救灾物资及包装箱表面醒目位置；</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2.印制于各级应急物资调运车辆</w:t>
      </w:r>
      <w:r>
        <w:rPr>
          <w:rFonts w:hint="eastAsia" w:ascii="黑体" w:hAnsi="黑体" w:eastAsia="黑体" w:cs="黑体"/>
          <w:sz w:val="32"/>
          <w:szCs w:val="32"/>
          <w:lang w:eastAsia="zh-CN"/>
        </w:rPr>
        <w:t xml:space="preserve">标识</w:t>
      </w:r>
      <w:r>
        <w:rPr>
          <w:rFonts w:hint="eastAsia" w:ascii="黑体" w:hAnsi="黑体" w:eastAsia="黑体" w:cs="黑体"/>
          <w:sz w:val="32"/>
          <w:szCs w:val="32"/>
        </w:rPr>
        <w:t xml:space="preserve">；</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3.各级应急物资储备库（点）印制、悬挂、张贴；</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4.各地应急避难场所应急物资存放点；</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5.灾区受灾群众集中安置点；</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6.各级应急物资保障队伍标识；</w:t>
      </w:r>
      <w:r/>
    </w:p>
    <w:p>
      <w:pPr>
        <w:ind w:firstLine="640"/>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sz w:val="32"/>
          <w:szCs w:val="32"/>
        </w:rPr>
        <w:t xml:space="preserve">7.其他适</w:t>
      </w:r>
      <w:r>
        <w:rPr>
          <w:rFonts w:hint="eastAsia" w:ascii="黑体" w:hAnsi="黑体" w:eastAsia="黑体" w:cs="黑体"/>
          <w:sz w:val="32"/>
          <w:szCs w:val="32"/>
          <w:lang w:val="en-US" w:eastAsia="zh-CN"/>
        </w:rPr>
        <w:t xml:space="preserve">宜</w:t>
      </w:r>
      <w:r>
        <w:rPr>
          <w:rFonts w:hint="eastAsia" w:ascii="黑体" w:hAnsi="黑体" w:eastAsia="黑体" w:cs="黑体"/>
          <w:sz w:val="32"/>
          <w:szCs w:val="32"/>
        </w:rPr>
        <w:t xml:space="preserve">统一标识形象场景。</w:t>
      </w:r>
      <w:r/>
    </w:p>
    <w:p>
      <w:pPr>
        <w:ind w:firstLine="643"/>
        <w:keepLines w:val="0"/>
        <w:keepNext w:val="0"/>
        <w:pageBreakBefore w:val="0"/>
        <w:spacing w:after="0" w:line="600" w:lineRule="exact"/>
        <w:widowControl w:val="off"/>
        <w:rPr>
          <w:rFonts w:hint="eastAsia" w:ascii="黑体" w:hAnsi="黑体" w:eastAsia="黑体" w:cs="黑体"/>
          <w:sz w:val="32"/>
          <w:szCs w:val="32"/>
        </w:rPr>
      </w:pPr>
      <w:r>
        <w:rPr>
          <w:rFonts w:hint="eastAsia" w:ascii="黑体" w:hAnsi="黑体" w:eastAsia="黑体" w:cs="黑体"/>
          <w:b/>
          <w:bCs/>
          <w:sz w:val="32"/>
          <w:szCs w:val="32"/>
          <w:lang w:eastAsia="zh-CN"/>
        </w:rPr>
        <w:t xml:space="preserve">第七条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全国各级应急管理部门为该标识的受权使用人</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各级应急管理部门组织实施本行政</w:t>
      </w:r>
      <w:r>
        <w:rPr>
          <w:rFonts w:hint="eastAsia" w:ascii="黑体" w:hAnsi="黑体" w:eastAsia="黑体" w:cs="黑体"/>
          <w:sz w:val="32"/>
          <w:szCs w:val="32"/>
          <w:lang w:eastAsia="zh-CN"/>
        </w:rPr>
        <w:t xml:space="preserve">区域以及</w:t>
      </w:r>
      <w:r>
        <w:rPr>
          <w:rFonts w:hint="eastAsia" w:ascii="黑体" w:hAnsi="黑体" w:eastAsia="黑体" w:cs="黑体"/>
          <w:sz w:val="32"/>
          <w:szCs w:val="32"/>
        </w:rPr>
        <w:t xml:space="preserve">本级机关标识使用的授权、监督、管理</w:t>
      </w:r>
      <w:r>
        <w:rPr>
          <w:rFonts w:hint="eastAsia" w:ascii="黑体" w:hAnsi="黑体" w:eastAsia="黑体" w:cs="黑体"/>
          <w:sz w:val="32"/>
          <w:szCs w:val="32"/>
          <w:lang w:eastAsia="zh-CN"/>
        </w:rPr>
        <w:t xml:space="preserve">。</w:t>
      </w:r>
      <w:r>
        <w:rPr>
          <w:rFonts w:hint="eastAsia" w:ascii="黑体" w:hAnsi="黑体" w:eastAsia="黑体" w:cs="黑体"/>
          <w:sz w:val="32"/>
          <w:szCs w:val="32"/>
        </w:rPr>
        <w:t xml:space="preserve">标识</w:t>
      </w:r>
      <w:r>
        <w:rPr>
          <w:rFonts w:hint="eastAsia" w:ascii="黑体" w:hAnsi="黑体" w:eastAsia="黑体" w:cs="黑体"/>
          <w:sz w:val="32"/>
          <w:szCs w:val="32"/>
          <w:lang w:eastAsia="zh-CN"/>
        </w:rPr>
        <w:t xml:space="preserve">相关</w:t>
      </w:r>
      <w:r>
        <w:rPr>
          <w:rFonts w:hint="eastAsia" w:ascii="黑体" w:hAnsi="黑体" w:eastAsia="黑体" w:cs="黑体"/>
          <w:sz w:val="32"/>
          <w:szCs w:val="32"/>
        </w:rPr>
        <w:t xml:space="preserve">使用人未按规定受权使用的，</w:t>
      </w:r>
      <w:r>
        <w:rPr>
          <w:rFonts w:hint="eastAsia" w:ascii="黑体" w:hAnsi="黑体" w:eastAsia="黑体" w:cs="黑体"/>
          <w:sz w:val="32"/>
          <w:szCs w:val="32"/>
          <w:lang w:eastAsia="zh-CN"/>
        </w:rPr>
        <w:t xml:space="preserve">由授权单位</w:t>
      </w:r>
      <w:r>
        <w:rPr>
          <w:rFonts w:hint="eastAsia" w:ascii="黑体" w:hAnsi="黑体" w:eastAsia="黑体" w:cs="黑体"/>
          <w:sz w:val="32"/>
          <w:szCs w:val="32"/>
        </w:rPr>
        <w:t xml:space="preserve">责令</w:t>
      </w:r>
      <w:r>
        <w:rPr>
          <w:rFonts w:hint="eastAsia" w:ascii="黑体" w:hAnsi="黑体" w:eastAsia="黑体" w:cs="黑体"/>
          <w:sz w:val="32"/>
          <w:szCs w:val="32"/>
          <w:lang w:eastAsia="zh-CN"/>
        </w:rPr>
        <w:t xml:space="preserve">整改直至</w:t>
      </w:r>
      <w:r>
        <w:rPr>
          <w:rFonts w:hint="eastAsia" w:ascii="黑体" w:hAnsi="黑体" w:eastAsia="黑体" w:cs="黑体"/>
          <w:sz w:val="32"/>
          <w:szCs w:val="32"/>
        </w:rPr>
        <w:t xml:space="preserve">停止其标识使用资格。</w:t>
      </w:r>
      <w:r/>
    </w:p>
    <w:p>
      <w:pPr>
        <w:ind w:firstLine="643"/>
        <w:jc w:val="left"/>
        <w:keepLines w:val="0"/>
        <w:keepNext w:val="0"/>
        <w:pageBreakBefore w:val="0"/>
        <w:spacing w:after="0" w:line="600" w:lineRule="exact"/>
        <w:widowControl w:val="off"/>
        <w:rPr>
          <w:rFonts w:hint="eastAsia" w:ascii="黑体" w:hAnsi="黑体" w:eastAsia="黑体" w:cs="黑体"/>
          <w:sz w:val="32"/>
          <w:szCs w:val="32"/>
          <w:lang w:eastAsia="zh-CN"/>
        </w:rPr>
      </w:pPr>
      <w:r>
        <w:rPr>
          <w:rFonts w:hint="eastAsia" w:ascii="黑体" w:hAnsi="黑体" w:eastAsia="黑体" w:cs="黑体"/>
          <w:b/>
          <w:bCs/>
          <w:sz w:val="32"/>
          <w:szCs w:val="32"/>
          <w:lang w:eastAsia="zh-CN"/>
        </w:rPr>
        <w:t xml:space="preserve">第八条</w:t>
      </w:r>
      <w:r>
        <w:rPr>
          <w:rFonts w:hint="eastAsia" w:ascii="黑体" w:hAnsi="黑体" w:eastAsia="黑体" w:cs="黑体"/>
          <w:sz w:val="32"/>
          <w:szCs w:val="32"/>
          <w:lang w:val="en-US" w:eastAsia="zh-CN"/>
        </w:rPr>
        <w:t xml:space="preserve"> </w:t>
      </w:r>
      <w:r>
        <w:rPr>
          <w:rFonts w:hint="eastAsia" w:ascii="黑体" w:hAnsi="黑体" w:eastAsia="黑体" w:cs="黑体"/>
          <w:sz w:val="32"/>
          <w:szCs w:val="32"/>
          <w:lang w:eastAsia="zh-CN"/>
        </w:rPr>
        <w:t xml:space="preserve">本指南自发布之日起实施。</w:t>
      </w:r>
      <w:r/>
    </w:p>
    <w:p>
      <w:pPr>
        <w:ind w:firstLine="960"/>
        <w:jc w:val="left"/>
        <w:keepLines w:val="0"/>
        <w:keepNext w:val="0"/>
        <w:pageBreakBefore w:val="0"/>
        <w:spacing w:after="0" w:line="600" w:lineRule="exact"/>
        <w:widowControl w:val="off"/>
        <w:rPr>
          <w:rFonts w:ascii="Times New Roman" w:hAnsi="Times New Roman" w:eastAsia="方正小标宋_GBK" w:cs="Times New Roman"/>
          <w:sz w:val="48"/>
          <w:szCs w:val="48"/>
        </w:rPr>
      </w:pPr>
      <w:r>
        <w:rPr>
          <w:rFonts w:hint="eastAsia" w:ascii="Times New Roman" w:hAnsi="Times New Roman" w:eastAsia="方正小标宋_GBK" w:cs="Times New Roman"/>
          <w:sz w:val="48"/>
          <w:szCs w:val="48"/>
        </w:rPr>
        <w:br w:type="page" w:clear="all"/>
      </w:r>
      <w:r>
        <w:rPr>
          <w:rFonts w:hint="eastAsia" w:ascii="Times New Roman" w:hAnsi="Times New Roman" w:eastAsia="方正小标宋_GBK" w:cs="Times New Roman"/>
          <w:sz w:val="48"/>
          <w:szCs w:val="48"/>
        </w:rPr>
        <w:t xml:space="preserve">应急救灾物资标识及应用场景示例</w:t>
      </w:r>
      <w:r/>
    </w:p>
    <w:p>
      <w:pPr>
        <w:jc w:val="center"/>
        <w:spacing w:line="600" w:lineRule="exact"/>
        <w:rPr>
          <w:rFonts w:ascii="Times New Roman" w:hAnsi="Times New Roman" w:eastAsia="方正小标宋_GBK" w:cs="Times New Roman"/>
          <w:sz w:val="48"/>
          <w:szCs w:val="48"/>
        </w:rPr>
      </w:pPr>
      <w:r>
        <w:rPr>
          <w:rFonts w:hint="eastAsia" w:ascii="Times New Roman" w:hAnsi="Times New Roman" w:eastAsia="方正小标宋_GBK" w:cs="Times New Roman"/>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-10160</wp:posOffset>
                </wp:positionH>
                <wp:positionV relativeFrom="paragraph">
                  <wp:posOffset>527685</wp:posOffset>
                </wp:positionV>
                <wp:extent cx="2519680" cy="3142615"/>
                <wp:effectExtent l="0" t="0" r="7620" b="6985"/>
                <wp:wrapTopAndBottom/>
                <wp:docPr id="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
                        <pic:cNvPicPr>
                          <a:picLocks noChangeAspect="1"/>
                        </pic:cNvPicPr>
                        <pic:nvPr/>
                      </pic:nvPicPr>
                      <pic:blipFill>
                        <a:blip r:embed="rId69"/>
                        <a:stretch/>
                      </pic:blipFill>
                      <pic:spPr bwMode="auto">
                        <a:xfrm>
                          <a:off x="0" y="0"/>
                          <a:ext cx="2519680" cy="3142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04320;o:allowoverlap:true;o:allowincell:true;mso-position-horizontal-relative:text;margin-left:-0.8pt;mso-position-horizontal:absolute;mso-position-vertical-relative:text;margin-top:41.5pt;mso-position-vertical:absolute;width:198.4pt;height:247.4pt;mso-wrap-distance-left:9.0pt;mso-wrap-distance-top:0.0pt;mso-wrap-distance-right:9.0pt;mso-wrap-distance-bottom:0.0pt;" stroked="f">
                <v:path textboxrect="0,0,0,0"/>
                <w10:wrap type="topAndBottom"/>
                <v:imagedata r:id="rId69" o:title=""/>
              </v:shape>
            </w:pict>
          </mc:Fallback>
        </mc:AlternateContent>
      </w:r>
      <w:r>
        <w:rPr>
          <w:rFonts w:ascii="黑体" w:hAnsi="黑体" w:eastAsia="黑体" w:cs="Times New Roman"/>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margin">
                  <wp:posOffset>2844165</wp:posOffset>
                </wp:positionH>
                <wp:positionV relativeFrom="paragraph">
                  <wp:posOffset>437515</wp:posOffset>
                </wp:positionV>
                <wp:extent cx="2503805" cy="3189605"/>
                <wp:effectExtent l="0" t="0" r="10795" b="10795"/>
                <wp:wrapTopAndBottom/>
                <wp:docPr id="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2"/>
                        <pic:cNvPicPr>
                          <a:picLocks noChangeAspect="1"/>
                        </pic:cNvPicPr>
                        <pic:nvPr/>
                      </pic:nvPicPr>
                      <pic:blipFill>
                        <a:blip r:embed="rId70"/>
                        <a:srcRect l="12006" t="0" r="12343" b="0"/>
                        <a:stretch/>
                      </pic:blipFill>
                      <pic:spPr bwMode="auto">
                        <a:xfrm>
                          <a:off x="0" y="0"/>
                          <a:ext cx="2503805" cy="318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05344;o:allowoverlap:true;o:allowincell:true;mso-position-horizontal-relative:margin;margin-left:223.9pt;mso-position-horizontal:absolute;mso-position-vertical-relative:text;margin-top:34.4pt;mso-position-vertical:absolute;width:197.1pt;height:251.1pt;mso-wrap-distance-left:9.0pt;mso-wrap-distance-top:0.0pt;mso-wrap-distance-right:9.0pt;mso-wrap-distance-bottom:0.0pt;" stroked="f">
                <v:path textboxrect="0,0,0,0"/>
                <w10:wrap type="topAndBottom"/>
                <v:imagedata r:id="rId70" o:title=""/>
              </v:shape>
            </w:pict>
          </mc:Fallback>
        </mc:AlternateContent>
      </w:r>
      <w:r/>
    </w:p>
    <w:p>
      <w:pPr>
        <w:spacing w:line="600" w:lineRule="exact"/>
        <w:rPr>
          <w:rFonts w:hint="eastAsia" w:ascii="黑体" w:hAnsi="黑体" w:eastAsia="黑体" w:cs="Times New Roman"/>
          <w:spacing w:val="-20"/>
          <w:sz w:val="28"/>
          <w:szCs w:val="28"/>
        </w:rPr>
      </w:pPr>
      <w:r>
        <w:rPr>
          <w:rFonts w:hint="eastAsia" w:ascii="黑体" w:hAnsi="黑体" w:eastAsia="黑体" w:cs="Times New Roman"/>
          <w:spacing w:val="-20"/>
          <w:sz w:val="28"/>
          <w:szCs w:val="28"/>
        </w:rPr>
        <w:t xml:space="preserve">图1-1 应急救灾物资标识（彩色）       图1-2 应急救灾物资标识（白色蓝底）</w:t>
      </w:r>
      <w:r/>
    </w:p>
    <w:p>
      <w:pPr>
        <w:spacing w:line="600" w:lineRule="exact"/>
        <w:rPr>
          <w:rFonts w:hint="eastAsia" w:ascii="黑体" w:hAnsi="黑体" w:eastAsia="黑体" w:cs="Times New Roman"/>
          <w:spacing w:val="-20"/>
          <w:sz w:val="28"/>
          <w:szCs w:val="28"/>
        </w:rPr>
      </w:pPr>
      <w:r>
        <w:rPr>
          <w:rFonts w:ascii="方正小标宋_GBK" w:eastAsia="方正小标宋_GBK"/>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margin">
                  <wp:posOffset>1111885</wp:posOffset>
                </wp:positionH>
                <wp:positionV relativeFrom="paragraph">
                  <wp:posOffset>313055</wp:posOffset>
                </wp:positionV>
                <wp:extent cx="2759075" cy="2790825"/>
                <wp:effectExtent l="0" t="0" r="9525" b="3175"/>
                <wp:wrapTopAndBottom/>
                <wp:docPr id="48"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91"/>
                        <pic:cNvPicPr>
                          <a:picLocks noChangeAspect="1"/>
                        </pic:cNvPicPr>
                        <pic:nvPr/>
                      </pic:nvPicPr>
                      <pic:blipFill>
                        <a:blip r:embed="rId71"/>
                        <a:srcRect l="3468" t="10942" r="1965" b="2876"/>
                        <a:stretch/>
                      </pic:blipFill>
                      <pic:spPr bwMode="auto">
                        <a:xfrm>
                          <a:off x="0" y="0"/>
                          <a:ext cx="2759075" cy="27908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07392;o:allowoverlap:true;o:allowincell:true;mso-position-horizontal-relative:margin;margin-left:87.5pt;mso-position-horizontal:absolute;mso-position-vertical-relative:text;margin-top:24.6pt;mso-position-vertical:absolute;width:217.2pt;height:219.8pt;mso-wrap-distance-left:9.0pt;mso-wrap-distance-top:0.0pt;mso-wrap-distance-right:9.0pt;mso-wrap-distance-bottom:0.0pt;" stroked="f">
                <v:path textboxrect="0,0,0,0"/>
                <w10:wrap type="topAndBottom"/>
                <v:imagedata r:id="rId71" o:title=""/>
              </v:shape>
            </w:pict>
          </mc:Fallback>
        </mc:AlternateContent>
      </w:r>
      <w:r/>
    </w:p>
    <w:p>
      <w:pPr>
        <w:jc w:val="center"/>
        <w:spacing w:line="600" w:lineRule="exact"/>
        <w:rPr>
          <w:rFonts w:hint="eastAsia" w:ascii="黑体" w:hAnsi="黑体" w:eastAsia="黑体" w:cs="Times New Roman"/>
          <w:spacing w:val="0"/>
          <w:sz w:val="30"/>
          <w:szCs w:val="30"/>
        </w:rPr>
      </w:pPr>
      <w:r>
        <w:rPr>
          <w:rFonts w:hint="eastAsia" w:ascii="黑体" w:hAnsi="黑体" w:eastAsia="黑体" w:cs="Times New Roman"/>
          <w:spacing w:val="0"/>
          <w:sz w:val="30"/>
          <w:szCs w:val="30"/>
        </w:rPr>
        <w:t xml:space="preserve">图1-3 应急救灾物资徽章</w:t>
      </w:r>
      <w:r/>
    </w:p>
    <w:p>
      <w:pPr>
        <w:jc w:val="center"/>
        <w:spacing w:line="600" w:lineRule="exact"/>
        <w:rPr>
          <w:rFonts w:hint="eastAsia" w:ascii="黑体" w:hAnsi="黑体" w:eastAsia="黑体" w:cs="Times New Roman"/>
          <w:sz w:val="30"/>
          <w:szCs w:val="30"/>
        </w:rPr>
      </w:pPr>
      <w:r>
        <w:rPr>
          <w:rFonts w:hint="eastAsia" w:ascii="Times New Roman" w:hAnsi="Times New Roman" w:eastAsia="仿宋_GB2312" w:cs="Times New Roman"/>
          <w:sz w:val="32"/>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margin">
                  <wp:posOffset>335280</wp:posOffset>
                </wp:positionH>
                <wp:positionV relativeFrom="margin">
                  <wp:posOffset>4489450</wp:posOffset>
                </wp:positionV>
                <wp:extent cx="4702175" cy="3373120"/>
                <wp:effectExtent l="0" t="0" r="9525" b="5080"/>
                <wp:wrapTopAndBottom/>
                <wp:docPr id="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
                        <pic:cNvPicPr>
                          <a:picLocks noChangeAspect="1"/>
                        </pic:cNvPicPr>
                        <pic:nvPr/>
                      </pic:nvPicPr>
                      <pic:blipFill>
                        <a:blip r:embed="rId72"/>
                        <a:srcRect l="2232" t="2376" r="22510" b="7379"/>
                        <a:stretch/>
                      </pic:blipFill>
                      <pic:spPr bwMode="auto">
                        <a:xfrm>
                          <a:off x="0" y="0"/>
                          <a:ext cx="4702175" cy="337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03296;o:allowoverlap:true;o:allowincell:true;mso-position-horizontal-relative:margin;margin-left:26.4pt;mso-position-horizontal:absolute;mso-position-vertical-relative:margin;margin-top:353.5pt;mso-position-vertical:absolute;width:370.2pt;height:265.6pt;mso-wrap-distance-left:9.0pt;mso-wrap-distance-top:0.0pt;mso-wrap-distance-right:9.0pt;mso-wrap-distance-bottom:0.0pt;" stroked="f">
                <v:path textboxrect="0,0,0,0"/>
                <w10:wrap type="topAndBottom"/>
                <v:imagedata r:id="rId72" o:title=""/>
              </v:shape>
            </w:pict>
          </mc:Fallback>
        </mc:AlternateContent>
      </w:r>
      <w:r>
        <w:rPr>
          <w:rFonts w:hint="eastAsia" w:ascii="黑体" w:hAnsi="黑体" w:eastAsia="黑体" w:cs="Times New Roman"/>
          <w:sz w:val="30"/>
          <w:szCs w:val="30"/>
        </w:rPr>
        <w:t xml:space="preserve">图2-1 应急救灾物资标识基准规范</w:t>
      </w:r>
      <w:r>
        <w:rPr>
          <w:rFonts w:hint="eastAsia" w:ascii="Times New Roman" w:hAnsi="Times New Roman" w:eastAsia="仿宋_GB2312" w:cs="Times New Roman"/>
          <w:sz w:val="32"/>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margin">
                  <wp:align>center</wp:align>
                </wp:positionH>
                <wp:positionV relativeFrom="paragraph">
                  <wp:posOffset>139700</wp:posOffset>
                </wp:positionV>
                <wp:extent cx="3189605" cy="3736975"/>
                <wp:effectExtent l="0" t="0" r="10795" b="9525"/>
                <wp:wrapTopAndBottom/>
                <wp:docPr id="5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
                        <pic:cNvPicPr>
                          <a:picLocks noChangeAspect="1"/>
                        </pic:cNvPicPr>
                        <pic:nvPr/>
                      </pic:nvPicPr>
                      <pic:blipFill>
                        <a:blip r:embed="rId73"/>
                        <a:srcRect l="7343" t="8465" r="7176" b="14039"/>
                        <a:stretch/>
                      </pic:blipFill>
                      <pic:spPr bwMode="auto">
                        <a:xfrm>
                          <a:off x="0" y="0"/>
                          <a:ext cx="3189605" cy="373697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02272;o:allowoverlap:true;o:allowincell:true;mso-position-horizontal-relative:margin;mso-position-horizontal:center;mso-position-vertical-relative:text;margin-top:11.0pt;mso-position-vertical:absolute;width:251.1pt;height:294.2pt;mso-wrap-distance-left:9.0pt;mso-wrap-distance-top:0.0pt;mso-wrap-distance-right:9.0pt;mso-wrap-distance-bottom:0.0pt;" stroked="f">
                <v:path textboxrect="0,0,0,0"/>
                <w10:wrap type="topAndBottom"/>
                <v:imagedata r:id="rId73" o:title=""/>
              </v:shape>
            </w:pict>
          </mc:Fallback>
        </mc:AlternateContent>
      </w:r>
      <w:r/>
    </w:p>
    <w:p>
      <w:pPr>
        <w:jc w:val="center"/>
        <w:spacing w:line="600" w:lineRule="exact"/>
        <w:rPr>
          <w:rFonts w:hint="eastAsia" w:ascii="黑体" w:hAnsi="黑体" w:eastAsia="黑体" w:cs="Times New Roman"/>
          <w:sz w:val="30"/>
          <w:szCs w:val="30"/>
        </w:rPr>
      </w:pPr>
      <w:r>
        <w:rPr>
          <w:rFonts w:hint="eastAsia" w:ascii="黑体" w:hAnsi="黑体" w:eastAsia="黑体" w:cs="Times New Roman"/>
          <w:sz w:val="30"/>
          <w:szCs w:val="30"/>
        </w:rPr>
        <w:t xml:space="preserve">图2-2 应急救灾物资标识应用比例</w:t>
      </w:r>
      <w:r/>
    </w:p>
    <w:p>
      <w:pPr>
        <w:jc w:val="center"/>
        <w:spacing w:line="600" w:lineRule="exact"/>
        <w:rPr>
          <w:rFonts w:hint="eastAsia" w:ascii="黑体" w:hAnsi="黑体" w:eastAsia="黑体" w:cs="Times New Roman"/>
          <w:sz w:val="30"/>
          <w:szCs w:val="30"/>
        </w:rPr>
      </w:pPr>
      <w:r>
        <w:rPr>
          <w:rFonts w:hint="eastAsia" w:ascii="黑体" w:hAnsi="黑体" w:eastAsia="黑体" w:cs="Times New Roman"/>
          <w:sz w:val="30"/>
          <w:szCs w:val="30"/>
        </w:rPr>
      </w:r>
      <w:r/>
    </w:p>
    <w:p>
      <w:pPr>
        <w:jc w:val="center"/>
        <w:spacing w:line="600" w:lineRule="exact"/>
        <w:rPr>
          <w:rFonts w:hint="eastAsia" w:ascii="黑体" w:hAnsi="黑体" w:eastAsia="黑体" w:cs="Times New Roman"/>
          <w:sz w:val="30"/>
          <w:szCs w:val="30"/>
        </w:rPr>
      </w:pPr>
      <w:r>
        <w:rPr>
          <w:rFonts w:ascii="黑体" w:hAnsi="黑体" w:eastAsia="黑体" w:cs="Times New Roman"/>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align>center</wp:align>
                </wp:positionH>
                <wp:positionV relativeFrom="margin">
                  <wp:posOffset>62230</wp:posOffset>
                </wp:positionV>
                <wp:extent cx="4658995" cy="2588895"/>
                <wp:effectExtent l="0" t="0" r="0" b="0"/>
                <wp:wrapTopAndBottom/>
                <wp:docPr id="51" name="组合 4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wpg:grpSpPr bwMode="auto">
                        <a:xfrm>
                          <a:off x="0" y="0"/>
                          <a:ext cx="4658995" cy="2588894"/>
                          <a:chOff x="0" y="0"/>
                          <a:chExt cx="9536368" cy="4671679"/>
                        </a:xfrm>
                      </wpg:grpSpPr>
                      <pic:pic xmlns:pic="http://schemas.openxmlformats.org/drawingml/2006/picture">
                        <pic:nvPicPr>
                          <pic:cNvPr id="177672099" name="图片 177672099"/>
                          <pic:cNvPicPr>
                            <a:picLocks noChangeAspect="1"/>
                          </pic:cNvPicPr>
                          <pic:nvPr/>
                        </pic:nvPicPr>
                        <pic:blipFill>
                          <a:blip r:embed="rId74"/>
                          <a:srcRect l="11215" t="56183" r="6540" b="1"/>
                          <a:stretch/>
                        </pic:blipFill>
                        <pic:spPr bwMode="auto">
                          <a:xfrm>
                            <a:off x="4486444" y="1010003"/>
                            <a:ext cx="5049924" cy="3595679"/>
                          </a:xfrm>
                          <a:prstGeom prst="rect">
                            <a:avLst/>
                          </a:prstGeom>
                          <a:noFill/>
                          <a:ln>
                            <a:noFill/>
                          </a:ln>
                          <a:effectLst/>
                        </pic:spPr>
                      </pic:pic>
                      <pic:pic xmlns:pic="http://schemas.openxmlformats.org/drawingml/2006/picture">
                        <pic:nvPicPr>
                          <pic:cNvPr id="556436533" name="图片 556436533"/>
                          <pic:cNvPicPr>
                            <a:picLocks noChangeAspect="1"/>
                          </pic:cNvPicPr>
                          <pic:nvPr/>
                        </pic:nvPicPr>
                        <pic:blipFill>
                          <a:blip r:embed="rId74"/>
                          <a:stretch/>
                        </pic:blipFill>
                        <pic:spPr bwMode="auto">
                          <a:xfrm>
                            <a:off x="0" y="0"/>
                            <a:ext cx="3495515" cy="4671679"/>
                          </a:xfrm>
                          <a:prstGeom prst="rect">
                            <a:avLst/>
                          </a:prstGeom>
                          <a:noFill/>
                          <a:ln>
                            <a:noFill/>
                          </a:ln>
                          <a:effectLst/>
                        </pic:spPr>
                      </pic:pic>
                    </wpg:wgp>
                  </a:graphicData>
                </a:graphic>
              </wp:anchor>
            </w:drawing>
          </mc:Choice>
          <mc:Fallback>
            <w:pict>
              <v:group id="group 89" o:spid="_x0000_s0000" style="position:absolute;z-index:251708416;o:allowoverlap:true;o:allowincell:true;mso-position-horizontal-relative:margin;mso-position-horizontal:center;mso-position-vertical-relative:margin;margin-top:4.9pt;mso-position-vertical:absolute;width:366.8pt;height:203.8pt;mso-wrap-distance-left:9.0pt;mso-wrap-distance-top:0.0pt;mso-wrap-distance-right:9.0pt;mso-wrap-distance-bottom:0.0pt;" coordorigin="0,0" coordsize="95363,467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left:44864;top:10100;width:50499;height:35956;" stroked="f">
                  <v:path textboxrect="0,0,0,0"/>
                  <w10:wrap type="topAndBottom"/>
                  <v:imagedata r:id="rId7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left:0;top:0;width:34955;height:46716;" stroked="f">
                  <v:path textboxrect="0,0,0,0"/>
                  <v:imagedata r:id="rId74" o:title=""/>
                </v:shape>
              </v:group>
            </w:pict>
          </mc:Fallback>
        </mc:AlternateContent>
      </w:r>
      <w:r>
        <w:rPr>
          <w:rFonts w:hint="eastAsia" w:ascii="黑体" w:hAnsi="黑体" w:eastAsia="黑体" w:cs="Times New Roman"/>
          <w:sz w:val="30"/>
          <w:szCs w:val="30"/>
        </w:rPr>
        <w:t xml:space="preserve">图3-1 应急救灾物资标识应用场景示例（取暖炉）</w:t>
      </w:r>
      <w:r/>
    </w:p>
    <w:p>
      <w:pPr>
        <w:jc w:val="center"/>
        <w:spacing w:line="600" w:lineRule="exact"/>
        <w:rPr>
          <w:rFonts w:hint="eastAsia" w:ascii="黑体" w:hAnsi="黑体" w:eastAsia="黑体" w:cs="Times New Roman"/>
          <w:sz w:val="30"/>
          <w:szCs w:val="30"/>
        </w:rPr>
      </w:pPr>
      <w:r>
        <w:rPr>
          <w:sz w:val="30"/>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96520</wp:posOffset>
                </wp:positionH>
                <wp:positionV relativeFrom="paragraph">
                  <wp:posOffset>86995</wp:posOffset>
                </wp:positionV>
                <wp:extent cx="4987925" cy="1799590"/>
                <wp:effectExtent l="0" t="0" r="3175" b="0"/>
                <wp:wrapTopAndBottom/>
                <wp:docPr id="52" name="组合 47"/>
                <wp:cNvGraphicFramePr/>
                <a:graphic xmlns:a="http://schemas.openxmlformats.org/drawingml/2006/main">
                  <a:graphicData uri="http://schemas.microsoft.com/office/word/2010/wordprocessingGroup">
                    <wpg:wgp>
                      <wpg:cNvGrpSpPr/>
                      <wpg:grpSpPr bwMode="auto">
                        <a:xfrm>
                          <a:off x="0" y="0"/>
                          <a:ext cx="4987925" cy="1799590"/>
                          <a:chOff x="7342" y="109522"/>
                          <a:chExt cx="7855" cy="2834"/>
                        </a:xfrm>
                      </wpg:grpSpPr>
                      <pic:pic xmlns:pic="http://schemas.openxmlformats.org/drawingml/2006/picture">
                        <pic:nvPicPr>
                          <pic:cNvPr id="69" name="图片 7"/>
                          <pic:cNvPicPr>
                            <a:picLocks noChangeAspect="1"/>
                          </pic:cNvPicPr>
                          <pic:nvPr/>
                        </pic:nvPicPr>
                        <pic:blipFill>
                          <a:blip r:embed="rId75"/>
                          <a:stretch/>
                        </pic:blipFill>
                        <pic:spPr bwMode="auto">
                          <a:xfrm>
                            <a:off x="7342" y="109522"/>
                            <a:ext cx="4273" cy="2834"/>
                          </a:xfrm>
                          <a:prstGeom prst="rect">
                            <a:avLst/>
                          </a:prstGeom>
                          <a:noFill/>
                          <a:ln>
                            <a:noFill/>
                          </a:ln>
                        </pic:spPr>
                      </pic:pic>
                      <pic:pic xmlns:pic="http://schemas.openxmlformats.org/drawingml/2006/picture">
                        <pic:nvPicPr>
                          <pic:cNvPr id="70" name="图片 8"/>
                          <pic:cNvPicPr>
                            <a:picLocks noChangeAspect="1"/>
                          </pic:cNvPicPr>
                          <pic:nvPr/>
                        </pic:nvPicPr>
                        <pic:blipFill>
                          <a:blip r:embed="rId76"/>
                          <a:stretch/>
                        </pic:blipFill>
                        <pic:spPr bwMode="auto">
                          <a:xfrm>
                            <a:off x="11573" y="109522"/>
                            <a:ext cx="3625" cy="2835"/>
                          </a:xfrm>
                          <a:prstGeom prst="rect">
                            <a:avLst/>
                          </a:prstGeom>
                          <a:noFill/>
                          <a:ln>
                            <a:noFill/>
                          </a:ln>
                        </pic:spPr>
                      </pic:pic>
                    </wpg:wgp>
                  </a:graphicData>
                </a:graphic>
              </wp:anchor>
            </w:drawing>
          </mc:Choice>
          <mc:Fallback>
            <w:pict>
              <v:group id="group 92" o:spid="_x0000_s0000" style="position:absolute;z-index:251711488;o:allowoverlap:true;o:allowincell:true;mso-position-horizontal-relative:text;margin-left:7.6pt;mso-position-horizontal:absolute;mso-position-vertical-relative:text;margin-top:6.8pt;mso-position-vertical:absolute;width:392.8pt;height:141.7pt;mso-wrap-distance-left:9.0pt;mso-wrap-distance-top:0.0pt;mso-wrap-distance-right:9.0pt;mso-wrap-distance-bottom:0.0pt;" coordorigin="73,1095" coordsize="78,2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left:73;top:1095;width:42;height:28;" stroked="f">
                  <v:path textboxrect="0,0,0,0"/>
                  <w10:wrap type="topAndBottom"/>
                  <v:imagedata r:id="rId75"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left:115;top:1095;width:36;height:28;" stroked="f">
                  <v:path textboxrect="0,0,0,0"/>
                  <v:imagedata r:id="rId76" o:title=""/>
                </v:shape>
              </v:group>
            </w:pict>
          </mc:Fallback>
        </mc:AlternateContent>
      </w:r>
      <w:r>
        <w:rPr>
          <w:rFonts w:hint="eastAsia" w:ascii="黑体" w:hAnsi="黑体" w:eastAsia="黑体" w:cs="Times New Roman"/>
          <w:sz w:val="30"/>
          <w:szCs w:val="30"/>
        </w:rPr>
        <w:t xml:space="preserve">图3-</w:t>
      </w:r>
      <w:r>
        <w:rPr>
          <w:rFonts w:hint="eastAsia" w:ascii="黑体" w:hAnsi="黑体" w:eastAsia="黑体" w:cs="Times New Roman"/>
          <w:sz w:val="30"/>
          <w:szCs w:val="30"/>
          <w:lang w:val="en-US" w:eastAsia="zh-CN"/>
        </w:rPr>
        <w:t xml:space="preserve">2</w:t>
      </w:r>
      <w:r>
        <w:rPr>
          <w:rFonts w:hint="eastAsia" w:ascii="黑体" w:hAnsi="黑体" w:eastAsia="黑体" w:cs="Times New Roman"/>
          <w:sz w:val="30"/>
          <w:szCs w:val="30"/>
        </w:rPr>
        <w:t xml:space="preserve"> 应急救灾物资标识应用场景示例（折叠床）</w:t>
      </w:r>
      <w:r/>
    </w:p>
    <w:p>
      <w:pPr>
        <w:jc w:val="center"/>
        <w:spacing w:line="600" w:lineRule="exact"/>
        <w:rPr>
          <w:rFonts w:hint="eastAsia" w:ascii="黑体" w:hAnsi="黑体" w:eastAsia="黑体" w:cs="Times New Roman"/>
          <w:sz w:val="30"/>
          <w:szCs w:val="30"/>
        </w:rPr>
      </w:pPr>
      <w:r>
        <w:rPr>
          <w:rFonts w:hint="eastAsia" w:ascii="黑体" w:hAnsi="黑体" w:eastAsia="黑体" w:cs="Times New Roman"/>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1832610</wp:posOffset>
                </wp:positionH>
                <wp:positionV relativeFrom="paragraph">
                  <wp:posOffset>-1050925</wp:posOffset>
                </wp:positionV>
                <wp:extent cx="1439545" cy="3998595"/>
                <wp:effectExtent l="0" t="0" r="0" b="0"/>
                <wp:wrapTopAndBottom/>
                <wp:docPr id="53"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100"/>
                        <pic:cNvPicPr>
                          <a:picLocks noChangeAspect="1"/>
                        </pic:cNvPicPr>
                        <pic:nvPr/>
                      </pic:nvPicPr>
                      <pic:blipFill>
                        <a:blip r:embed="rId77"/>
                        <a:stretch/>
                      </pic:blipFill>
                      <pic:spPr bwMode="auto">
                        <a:xfrm rot="-5400000">
                          <a:off x="0" y="0"/>
                          <a:ext cx="1439545" cy="39985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06368;o:allowoverlap:true;o:allowincell:true;mso-position-horizontal-relative:text;margin-left:144.3pt;mso-position-horizontal:absolute;mso-position-vertical-relative:text;margin-top:-82.8pt;mso-position-vertical:absolute;width:113.3pt;height:314.8pt;mso-wrap-distance-left:9.0pt;mso-wrap-distance-top:0.0pt;mso-wrap-distance-right:9.0pt;mso-wrap-distance-bottom:0.0pt;rotation:-90;" stroked="f">
                <v:path textboxrect="0,0,0,0"/>
                <w10:wrap type="topAndBottom"/>
                <v:imagedata r:id="rId77" o:title=""/>
              </v:shape>
            </w:pict>
          </mc:Fallback>
        </mc:AlternateContent>
      </w:r>
      <w:r>
        <w:rPr>
          <w:rFonts w:hint="eastAsia" w:ascii="黑体" w:hAnsi="黑体" w:eastAsia="黑体" w:cs="Times New Roman"/>
          <w:sz w:val="30"/>
          <w:szCs w:val="30"/>
        </w:rPr>
        <w:t xml:space="preserve">图3-3 应急救灾物资标识应用场景示例（家庭应急灯）</w:t>
      </w:r>
      <w:r/>
    </w:p>
    <w:p>
      <w:pPr>
        <w:jc w:val="center"/>
        <w:spacing w:line="600" w:lineRule="exact"/>
        <w:rPr>
          <w:rFonts w:hint="eastAsia" w:ascii="黑体" w:hAnsi="黑体" w:eastAsia="黑体" w:cs="Times New Roman"/>
          <w:sz w:val="30"/>
          <w:szCs w:val="30"/>
        </w:rPr>
      </w:pPr>
      <w:r>
        <w:rPr>
          <w:rFonts w:hint="eastAsia" w:ascii="黑体" w:hAnsi="黑体" w:eastAsia="黑体" w:cs="Times New Roman"/>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posOffset>154305</wp:posOffset>
                </wp:positionH>
                <wp:positionV relativeFrom="paragraph">
                  <wp:posOffset>72390</wp:posOffset>
                </wp:positionV>
                <wp:extent cx="4993005" cy="2160270"/>
                <wp:effectExtent l="0" t="0" r="10795" b="11430"/>
                <wp:wrapTopAndBottom/>
                <wp:docPr id="54"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01"/>
                        <pic:cNvPicPr>
                          <a:picLocks noChangeAspect="1"/>
                        </pic:cNvPicPr>
                        <pic:nvPr/>
                      </pic:nvPicPr>
                      <pic:blipFill>
                        <a:blip r:embed="rId78"/>
                        <a:srcRect l="3539" t="14601" r="2373" b="9367"/>
                        <a:stretch/>
                      </pic:blipFill>
                      <pic:spPr bwMode="auto">
                        <a:xfrm>
                          <a:off x="0" y="0"/>
                          <a:ext cx="4993005" cy="2160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10464;o:allowoverlap:true;o:allowincell:true;mso-position-horizontal-relative:margin;margin-left:12.1pt;mso-position-horizontal:absolute;mso-position-vertical-relative:text;margin-top:5.7pt;mso-position-vertical:absolute;width:393.1pt;height:170.1pt;mso-wrap-distance-left:9.0pt;mso-wrap-distance-top:0.0pt;mso-wrap-distance-right:9.0pt;mso-wrap-distance-bottom:0.0pt;" stroked="f">
                <v:path textboxrect="0,0,0,0"/>
                <w10:wrap type="topAndBottom"/>
                <v:imagedata r:id="rId78" o:title=""/>
              </v:shape>
            </w:pict>
          </mc:Fallback>
        </mc:AlternateContent>
      </w:r>
      <w:r>
        <w:rPr>
          <w:rFonts w:hint="eastAsia" w:ascii="黑体" w:hAnsi="黑体" w:eastAsia="黑体" w:cs="Times New Roman"/>
          <w:sz w:val="30"/>
          <w:szCs w:val="30"/>
        </w:rPr>
        <w:t xml:space="preserve">图3-</w:t>
      </w:r>
      <w:r>
        <w:rPr>
          <w:rFonts w:hint="eastAsia" w:ascii="黑体" w:hAnsi="黑体" w:eastAsia="黑体" w:cs="Times New Roman"/>
          <w:sz w:val="30"/>
          <w:szCs w:val="30"/>
          <w:lang w:val="en-US" w:eastAsia="zh-CN"/>
        </w:rPr>
        <w:t xml:space="preserve">4</w:t>
      </w:r>
      <w:r>
        <w:rPr>
          <w:rFonts w:hint="eastAsia" w:ascii="黑体" w:hAnsi="黑体" w:eastAsia="黑体" w:cs="Times New Roman"/>
          <w:sz w:val="30"/>
          <w:szCs w:val="30"/>
        </w:rPr>
        <w:t xml:space="preserve"> 应急救灾物资产品包装箱示例</w:t>
      </w:r>
      <w:r/>
    </w:p>
    <w:p>
      <w:pPr>
        <w:jc w:val="center"/>
        <w:spacing w:line="600" w:lineRule="exact"/>
        <w:rPr>
          <w:rFonts w:hint="eastAsia" w:ascii="黑体" w:hAnsi="黑体" w:eastAsia="黑体"/>
          <w:spacing w:val="-20"/>
          <w:sz w:val="36"/>
          <w:szCs w:val="36"/>
        </w:rPr>
      </w:pPr>
      <w:r>
        <w:rPr>
          <w:rFonts w:hint="eastAsia" w:ascii="黑体" w:hAnsi="黑体" w:eastAsia="黑体" w:cs="Times New Roman"/>
          <w:sz w:val="30"/>
          <w:szCs w:val="30"/>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-46990</wp:posOffset>
                </wp:positionH>
                <wp:positionV relativeFrom="paragraph">
                  <wp:posOffset>76200</wp:posOffset>
                </wp:positionV>
                <wp:extent cx="5274310" cy="3729355"/>
                <wp:effectExtent l="0" t="0" r="8890" b="4445"/>
                <wp:wrapTopAndBottom/>
                <wp:docPr id="55"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02"/>
                        <pic:cNvPicPr>
                          <a:picLocks noChangeAspect="1"/>
                        </pic:cNvPicPr>
                        <pic:nvPr/>
                      </pic:nvPicPr>
                      <pic:blipFill>
                        <a:blip r:embed="rId79"/>
                        <a:stretch/>
                      </pic:blipFill>
                      <pic:spPr bwMode="auto">
                        <a:xfrm>
                          <a:off x="0" y="0"/>
                          <a:ext cx="5274310" cy="3729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09440;o:allowoverlap:true;o:allowincell:true;mso-position-horizontal-relative:text;margin-left:-3.7pt;mso-position-horizontal:absolute;mso-position-vertical-relative:text;margin-top:6.0pt;mso-position-vertical:absolute;width:415.3pt;height:293.6pt;mso-wrap-distance-left:9.0pt;mso-wrap-distance-top:0.0pt;mso-wrap-distance-right:9.0pt;mso-wrap-distance-bottom:0.0pt;" stroked="f">
                <v:path textboxrect="0,0,0,0"/>
                <w10:wrap type="topAndBottom"/>
                <v:imagedata r:id="rId79" o:title=""/>
              </v:shape>
            </w:pict>
          </mc:Fallback>
        </mc:AlternateContent>
      </w:r>
      <w:r>
        <w:rPr>
          <w:rFonts w:hint="eastAsia" w:ascii="黑体" w:hAnsi="黑体" w:eastAsia="黑体" w:cs="Times New Roman"/>
          <w:sz w:val="30"/>
          <w:szCs w:val="30"/>
        </w:rPr>
        <w:t xml:space="preserve">图4 应急救灾物资调运车辆标识示例</w:t>
      </w:r>
      <w:r/>
    </w:p>
    <w:p>
      <w:pPr>
        <w:jc w:val="both"/>
        <w:spacing w:line="600" w:lineRule="exact"/>
        <w:rPr>
          <w:rFonts w:hint="eastAsia" w:ascii="宋体" w:hAnsi="宋体" w:eastAsia="宋体" w:cs="宋体"/>
          <w:spacing w:val="-20"/>
          <w:sz w:val="36"/>
          <w:szCs w:val="36"/>
        </w:rPr>
      </w:pPr>
      <w:r>
        <w:rPr>
          <w:rFonts w:hint="eastAsia" w:ascii="宋体" w:hAnsi="宋体" w:eastAsia="宋体" w:cs="宋体"/>
          <w:spacing w:val="-20"/>
          <w:sz w:val="36"/>
          <w:szCs w:val="36"/>
        </w:rPr>
      </w:r>
      <w:r/>
    </w:p>
    <w:p>
      <w:pPr>
        <w:jc w:val="center"/>
        <w:spacing w:line="600" w:lineRule="exact"/>
        <w:rPr>
          <w:rFonts w:hint="eastAsia" w:ascii="宋体" w:hAnsi="宋体" w:eastAsia="宋体" w:cs="宋体"/>
          <w:sz w:val="30"/>
          <w:szCs w:val="30"/>
        </w:rPr>
      </w:pPr>
      <w:r>
        <w:rPr>
          <w:rFonts w:hint="eastAsia" w:ascii="宋体" w:hAnsi="宋体" w:eastAsia="宋体" w:cs="宋体"/>
          <w:sz w:val="30"/>
          <w:szCs w:val="30"/>
        </w:rPr>
      </w:r>
      <w:r/>
    </w:p>
    <w:p>
      <w:pPr>
        <w:numPr>
          <w:ilvl w:val="0"/>
          <w:numId w:val="0"/>
        </w:numPr>
        <w:ind w:firstLine="482"/>
        <w:keepLines w:val="0"/>
        <w:keepNext w:val="0"/>
        <w:pageBreakBefore w:val="0"/>
        <w:spacing w:line="560" w:lineRule="exact"/>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br w:type="page" w:clear="all"/>
      </w:r>
      <w:r/>
    </w:p>
    <w:p>
      <w:pPr>
        <w:numPr>
          <w:ilvl w:val="0"/>
          <w:numId w:val="0"/>
        </w:numPr>
        <w:ind w:firstLine="482"/>
        <w:keepLines w:val="0"/>
        <w:keepNext w:val="0"/>
        <w:pageBreakBefore w:val="0"/>
        <w:spacing w:line="560" w:lineRule="exact"/>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四、付款方式</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对于满足合同约定支付条件的，自收到发票后10个工作日内将资金支付到合同约定的投标人账户或投标人数字人民币账户。</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1.合同签订后自收到供应商发票之日起10个工作日内，采购人向中标人支付合同总价款的30%作为预付款。</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2.项目供货完成经验收合格，采购人自收到供应商发票之日起10个工作日内付至合同价款的100%。</w:t>
      </w:r>
      <w:r/>
    </w:p>
    <w:p>
      <w:pPr>
        <w:ind w:firstLine="482"/>
        <w:keepLines w:val="0"/>
        <w:keepNext w:val="0"/>
        <w:pageBreakBefore w:val="0"/>
        <w:spacing w:line="560" w:lineRule="exact"/>
        <w:rPr>
          <w:rStyle w:val="847"/>
          <w:rFonts w:hint="eastAsia" w:ascii="宋体" w:hAnsi="宋体" w:eastAsia="宋体" w:cs="宋体"/>
          <w:b/>
          <w:color w:val="auto"/>
          <w:sz w:val="24"/>
          <w:szCs w:val="24"/>
          <w:highlight w:val="none"/>
          <w:lang w:val="en-US" w:eastAsia="zh-CN" w:bidi="ar-SA"/>
        </w:rPr>
      </w:pPr>
      <w:r>
        <w:rPr>
          <w:rStyle w:val="847"/>
          <w:rFonts w:hint="eastAsia" w:ascii="宋体" w:hAnsi="宋体" w:eastAsia="宋体" w:cs="宋体"/>
          <w:b/>
          <w:color w:val="auto"/>
          <w:sz w:val="24"/>
          <w:szCs w:val="24"/>
          <w:highlight w:val="none"/>
          <w:lang w:val="en-US" w:eastAsia="zh-CN" w:bidi="ar-SA"/>
        </w:rPr>
        <w:t xml:space="preserve">注：在签订合同时，中标人明确表示无需预付款或者主动要求降低付款比例的金额，采购人可不适用前述规定。</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五、产品详细资料提供清单要求</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基础信息</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1.生产厂家全称</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2.品牌名称</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3.产品规格</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4.产品净体积、毛体积</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5.产品净重量、毛重量</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6.包装尺寸</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（二）外观与可视化资料</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1.产品多角度高清外观图</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2.产品包装完整图</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3.二维码链接（需包含产品介绍视频、操作演示视频）</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（三）技术与检测资料</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1.全项技术指标参数表</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2.相关检测报告</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（四）使用与维护说明</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1.核心性能特点</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2.详细使用说明</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3.维护保养指南</w:t>
      </w:r>
      <w:r/>
    </w:p>
    <w:p>
      <w:pPr>
        <w:ind w:firstLine="480"/>
        <w:spacing w:line="360" w:lineRule="auto"/>
        <w:tabs>
          <w:tab w:val="left" w:pos="525" w:leader="none"/>
          <w:tab w:val="left" w:pos="780"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4.安全注意事项</w:t>
      </w:r>
      <w:r/>
    </w:p>
    <w:p>
      <w:pPr>
        <w:ind w:firstLine="482"/>
        <w:jc w:val="both"/>
        <w:keepLines w:val="0"/>
        <w:keepNext w:val="0"/>
        <w:pageBreakBefore w:val="0"/>
        <w:spacing w:line="560" w:lineRule="exact"/>
        <w:widowControl w:val="off"/>
        <w:rPr>
          <w:rStyle w:val="847"/>
          <w:rFonts w:hint="eastAsia" w:ascii="宋体" w:hAnsi="宋体" w:eastAsia="宋体" w:cs="宋体"/>
          <w:b/>
          <w:bCs/>
          <w:color w:val="auto"/>
          <w:sz w:val="24"/>
          <w:szCs w:val="22"/>
          <w:highlight w:val="none"/>
          <w:lang w:val="en-US" w:eastAsia="zh-CN" w:bidi="ar-SA"/>
        </w:rPr>
        <w:outlineLvl w:val="1"/>
      </w:pPr>
      <w:r/>
      <w:bookmarkStart w:id="1127" w:name="_Toc256000040"/>
      <w:r/>
      <w:bookmarkStart w:id="1128" w:name="_Toc256000035"/>
      <w:r/>
      <w:bookmarkStart w:id="1129" w:name="_Toc256000017"/>
      <w:r/>
      <w:bookmarkStart w:id="1130" w:name="_Toc111564913"/>
      <w:r/>
      <w:bookmarkStart w:id="1131" w:name="_Toc10198"/>
      <w:r/>
      <w:bookmarkStart w:id="1132" w:name="_Toc4937"/>
      <w:r>
        <w:rPr>
          <w:rStyle w:val="847"/>
          <w:rFonts w:hint="eastAsia" w:ascii="宋体" w:hAnsi="宋体" w:eastAsia="宋体" w:cs="宋体"/>
          <w:b/>
          <w:bCs/>
          <w:color w:val="auto"/>
          <w:sz w:val="24"/>
          <w:szCs w:val="22"/>
          <w:highlight w:val="none"/>
          <w:lang w:val="en-US" w:eastAsia="zh-CN" w:bidi="ar-SA"/>
        </w:rPr>
        <w:t xml:space="preserve">六、售后服务内容及地点</w:t>
      </w:r>
      <w:bookmarkEnd w:id="1127"/>
      <w:r/>
      <w:bookmarkEnd w:id="1128"/>
      <w:r/>
      <w:bookmarkEnd w:id="1129"/>
      <w:r/>
      <w:bookmarkEnd w:id="1130"/>
      <w:r/>
      <w:bookmarkEnd w:id="1131"/>
      <w:r/>
      <w:bookmarkEnd w:id="1132"/>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（一）售后服务内容</w:t>
      </w:r>
      <w:r/>
    </w:p>
    <w:p>
      <w:pPr>
        <w:ind w:firstLine="480"/>
        <w:keepLines w:val="0"/>
        <w:keepNext w:val="0"/>
        <w:pageBreakBefore w:val="0"/>
        <w:spacing w:line="560" w:lineRule="exact"/>
        <w:rPr>
          <w:rStyle w:val="847"/>
          <w:rFonts w:hint="eastAsia" w:ascii="宋体" w:hAnsi="宋体" w:eastAsia="宋体" w:cs="宋体"/>
          <w:bCs/>
          <w:color w:val="auto"/>
          <w:sz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1.日常服务：</w:t>
      </w:r>
      <w:r>
        <w:rPr>
          <w:rStyle w:val="847"/>
          <w:rFonts w:hint="eastAsia" w:ascii="宋体" w:hAnsi="宋体" w:eastAsia="宋体" w:cs="宋体"/>
          <w:bCs/>
          <w:color w:val="auto"/>
          <w:sz w:val="24"/>
          <w:szCs w:val="21"/>
          <w:highlight w:val="none"/>
          <w:lang w:val="en-US" w:eastAsia="zh-CN" w:bidi="ar-SA"/>
        </w:rPr>
        <w:t xml:space="preserve">中标人</w:t>
      </w:r>
      <w:r>
        <w:rPr>
          <w:rStyle w:val="847"/>
          <w:rFonts w:hint="eastAsia" w:ascii="宋体" w:hAnsi="宋体" w:eastAsia="宋体" w:cs="宋体"/>
          <w:color w:val="auto"/>
          <w:sz w:val="24"/>
          <w:szCs w:val="24"/>
          <w:highlight w:val="none"/>
          <w:lang w:val="en-US" w:eastAsia="zh-CN" w:bidi="ar-SA"/>
        </w:rPr>
        <w:t xml:space="preserve">维修技术人员及设备应满足产品日常维护及紧急抢修要求。</w:t>
      </w:r>
      <w:r>
        <w:rPr>
          <w:rStyle w:val="847"/>
          <w:rFonts w:hint="eastAsia" w:ascii="宋体" w:hAnsi="宋体" w:eastAsia="宋体" w:cs="宋体"/>
          <w:bCs/>
          <w:color w:val="auto"/>
          <w:sz w:val="24"/>
          <w:szCs w:val="21"/>
          <w:highlight w:val="none"/>
          <w:lang w:val="en-US" w:eastAsia="zh-CN" w:bidi="ar-SA"/>
        </w:rPr>
        <w:t xml:space="preserve">质保期内中标人对所供货物实行包修、包换、包退、包维护保养，</w:t>
      </w:r>
      <w:r>
        <w:rPr>
          <w:rFonts w:hint="eastAsia" w:ascii="宋体" w:hAnsi="宋体" w:eastAsia="宋体" w:cs="宋体"/>
          <w:color w:val="auto"/>
          <w:sz w:val="24"/>
          <w:highlight w:val="none"/>
        </w:rPr>
        <w:t xml:space="preserve">采购人不承担</w:t>
      </w:r>
      <w:r>
        <w:rPr>
          <w:rStyle w:val="847"/>
          <w:rFonts w:hint="eastAsia" w:ascii="宋体" w:hAnsi="宋体" w:eastAsia="宋体" w:cs="宋体"/>
          <w:color w:val="auto"/>
          <w:sz w:val="24"/>
          <w:szCs w:val="24"/>
          <w:highlight w:val="none"/>
          <w:lang w:val="en-US" w:eastAsia="zh-CN" w:bidi="ar-SA"/>
        </w:rPr>
        <w:t xml:space="preserve">维修、退换、更换配件、维护保养等</w:t>
      </w:r>
      <w:r>
        <w:rPr>
          <w:rFonts w:hint="eastAsia" w:ascii="宋体" w:hAnsi="宋体" w:eastAsia="宋体" w:cs="宋体"/>
          <w:color w:val="auto"/>
          <w:sz w:val="24"/>
          <w:highlight w:val="none"/>
        </w:rPr>
        <w:t xml:space="preserve">产生的任何费用</w:t>
      </w:r>
      <w:r>
        <w:rPr>
          <w:rFonts w:hint="eastAsia" w:ascii="宋体" w:hAnsi="宋体" w:eastAsia="宋体" w:cs="宋体"/>
          <w:color w:val="auto"/>
          <w:sz w:val="24"/>
          <w:highlight w:val="none"/>
          <w:lang w:eastAsia="zh-CN"/>
        </w:rPr>
        <w:t xml:space="preserve">；</w:t>
      </w:r>
      <w:r>
        <w:rPr>
          <w:rStyle w:val="847"/>
          <w:rFonts w:hint="eastAsia" w:ascii="宋体" w:hAnsi="宋体" w:eastAsia="宋体" w:cs="宋体"/>
          <w:bCs/>
          <w:color w:val="auto"/>
          <w:sz w:val="24"/>
          <w:szCs w:val="21"/>
          <w:highlight w:val="none"/>
          <w:lang w:val="en-US" w:eastAsia="zh-CN" w:bidi="ar-SA"/>
        </w:rPr>
        <w:t xml:space="preserve">质保期满后中标人提供终身维修保养服务，只收取成本费用。</w:t>
      </w:r>
      <w:r/>
    </w:p>
    <w:p>
      <w:pPr>
        <w:ind w:firstLine="480"/>
        <w:keepLines w:val="0"/>
        <w:keepNext w:val="0"/>
        <w:pageBreakBefore w:val="0"/>
        <w:spacing w:line="560" w:lineRule="exact"/>
        <w:rPr>
          <w:rStyle w:val="847"/>
          <w:rFonts w:hint="eastAsia" w:ascii="宋体" w:hAnsi="宋体" w:eastAsia="宋体" w:cs="宋体"/>
          <w:bCs/>
          <w:color w:val="auto"/>
          <w:sz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2.服务时效：产品如</w:t>
      </w:r>
      <w:r>
        <w:rPr>
          <w:rFonts w:hint="eastAsia" w:ascii="宋体" w:hAnsi="宋体" w:eastAsia="宋体" w:cs="宋体"/>
          <w:color w:val="auto"/>
          <w:sz w:val="24"/>
          <w:highlight w:val="none"/>
        </w:rPr>
        <w:t xml:space="preserve">发生质量问题，</w:t>
      </w:r>
      <w:r>
        <w:rPr>
          <w:rStyle w:val="847"/>
          <w:rFonts w:hint="eastAsia" w:ascii="宋体" w:hAnsi="宋体" w:eastAsia="宋体" w:cs="宋体"/>
          <w:bCs/>
          <w:color w:val="auto"/>
          <w:sz w:val="24"/>
          <w:szCs w:val="21"/>
          <w:highlight w:val="none"/>
          <w:lang w:val="en-US" w:eastAsia="zh-CN" w:bidi="ar-SA"/>
        </w:rPr>
        <w:t xml:space="preserve">中标人</w:t>
      </w:r>
      <w:r>
        <w:rPr>
          <w:rFonts w:hint="eastAsia" w:ascii="宋体" w:hAnsi="宋体" w:eastAsia="宋体" w:cs="宋体"/>
          <w:color w:val="auto"/>
          <w:sz w:val="24"/>
          <w:highlight w:val="none"/>
        </w:rPr>
        <w:t xml:space="preserve">应在接到故障通知</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小时以内做出响应，24小时内到达现场予以排除故障、修复或更换零部件，或启用替代产品（替代产品不得低于原产品）。如需更换或送修，</w:t>
      </w:r>
      <w:r>
        <w:rPr>
          <w:rFonts w:hint="eastAsia" w:ascii="宋体" w:hAnsi="宋体" w:eastAsia="宋体" w:cs="宋体"/>
          <w:color w:val="auto"/>
          <w:sz w:val="24"/>
          <w:highlight w:val="none"/>
          <w:lang w:eastAsia="zh-CN"/>
        </w:rPr>
        <w:t xml:space="preserve">应</w:t>
      </w:r>
      <w:r>
        <w:rPr>
          <w:rFonts w:hint="eastAsia" w:ascii="宋体" w:hAnsi="宋体" w:eastAsia="宋体" w:cs="宋体"/>
          <w:color w:val="auto"/>
          <w:sz w:val="24"/>
          <w:highlight w:val="none"/>
        </w:rPr>
        <w:t xml:space="preserve">在2个工作日内解决。</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3.培训人员现场培训（操作、维护等）：根据采购人需要，</w:t>
      </w:r>
      <w:r>
        <w:rPr>
          <w:rStyle w:val="847"/>
          <w:rFonts w:hint="eastAsia" w:ascii="宋体" w:hAnsi="宋体" w:eastAsia="宋体" w:cs="宋体"/>
          <w:bCs/>
          <w:color w:val="auto"/>
          <w:sz w:val="24"/>
          <w:szCs w:val="21"/>
          <w:highlight w:val="none"/>
          <w:lang w:val="en-US" w:eastAsia="zh-CN" w:bidi="ar-SA"/>
        </w:rPr>
        <w:t xml:space="preserve">中标人</w:t>
      </w:r>
      <w:r>
        <w:rPr>
          <w:rStyle w:val="847"/>
          <w:rFonts w:hint="eastAsia" w:ascii="宋体" w:hAnsi="宋体" w:eastAsia="宋体" w:cs="宋体"/>
          <w:color w:val="auto"/>
          <w:sz w:val="24"/>
          <w:szCs w:val="24"/>
          <w:highlight w:val="none"/>
          <w:lang w:val="en-US" w:eastAsia="zh-CN" w:bidi="ar-SA"/>
        </w:rPr>
        <w:t xml:space="preserve">可免费提供现场培训一次，要求培训人员充足、培训计划完善。（培训内容包含设备使用培训、维修养护培训，免费提供培训操作手册）。</w:t>
      </w:r>
      <w:r/>
    </w:p>
    <w:p>
      <w:pPr>
        <w:ind w:firstLine="480"/>
        <w:keepLines w:val="0"/>
        <w:keepNext w:val="0"/>
        <w:pageBreakBefore w:val="0"/>
        <w:spacing w:line="560" w:lineRule="exact"/>
        <w:rPr>
          <w:rStyle w:val="847"/>
          <w:rFonts w:hint="eastAsia" w:ascii="宋体" w:hAnsi="宋体" w:eastAsia="宋体" w:cs="宋体"/>
          <w:b/>
          <w:bCs w:val="0"/>
          <w:color w:val="auto"/>
          <w:sz w:val="24"/>
          <w:szCs w:val="21"/>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4.有救灾救援任务时，</w:t>
      </w:r>
      <w:r>
        <w:rPr>
          <w:rFonts w:hint="eastAsia" w:ascii="宋体" w:hAnsi="宋体" w:eastAsia="宋体" w:cs="宋体"/>
          <w:color w:val="auto"/>
          <w:sz w:val="24"/>
          <w:highlight w:val="none"/>
          <w:lang w:eastAsia="zh-CN"/>
        </w:rPr>
        <w:t xml:space="preserve">根据采购人需要，</w:t>
      </w:r>
      <w:r>
        <w:rPr>
          <w:rStyle w:val="847"/>
          <w:rFonts w:hint="eastAsia" w:ascii="宋体" w:hAnsi="宋体" w:eastAsia="宋体" w:cs="宋体"/>
          <w:bCs/>
          <w:color w:val="auto"/>
          <w:sz w:val="24"/>
          <w:szCs w:val="21"/>
          <w:highlight w:val="none"/>
          <w:lang w:val="en-US" w:eastAsia="zh-CN" w:bidi="ar-SA"/>
        </w:rPr>
        <w:t xml:space="preserve">中标人</w:t>
      </w:r>
      <w:r>
        <w:rPr>
          <w:rFonts w:hint="eastAsia" w:ascii="宋体" w:hAnsi="宋体" w:eastAsia="宋体" w:cs="宋体"/>
          <w:color w:val="auto"/>
          <w:sz w:val="24"/>
          <w:highlight w:val="none"/>
        </w:rPr>
        <w:t xml:space="preserve">应</w:t>
      </w:r>
      <w:r>
        <w:rPr>
          <w:rStyle w:val="847"/>
          <w:rFonts w:hint="eastAsia" w:ascii="宋体" w:hAnsi="宋体" w:eastAsia="宋体" w:cs="宋体"/>
          <w:color w:val="auto"/>
          <w:sz w:val="24"/>
          <w:szCs w:val="24"/>
          <w:highlight w:val="none"/>
          <w:lang w:val="en-US" w:eastAsia="zh-CN" w:bidi="ar-SA"/>
        </w:rPr>
        <w:t xml:space="preserve">24小时不分时段无偿提供救灾救援线上或现场技术支持，技术支持人员食宿自理。</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5.</w:t>
      </w:r>
      <w:r>
        <w:rPr>
          <w:rStyle w:val="847"/>
          <w:rFonts w:hint="eastAsia" w:ascii="宋体" w:hAnsi="宋体" w:eastAsia="宋体" w:cs="宋体"/>
          <w:bCs/>
          <w:color w:val="auto"/>
          <w:sz w:val="24"/>
          <w:szCs w:val="21"/>
          <w:highlight w:val="none"/>
          <w:lang w:val="en-US" w:eastAsia="zh-CN" w:bidi="ar-SA"/>
        </w:rPr>
        <w:t xml:space="preserve">中标人应提供售后服务质量保障方案，建立完善的售后服务管理体系及拥有专业的维护队伍。</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6.</w:t>
      </w:r>
      <w:r>
        <w:rPr>
          <w:rStyle w:val="847"/>
          <w:rFonts w:hint="eastAsia" w:ascii="宋体" w:hAnsi="宋体" w:eastAsia="宋体" w:cs="宋体"/>
          <w:bCs/>
          <w:color w:val="auto"/>
          <w:sz w:val="24"/>
          <w:szCs w:val="21"/>
          <w:highlight w:val="none"/>
          <w:lang w:val="en-US" w:eastAsia="zh-CN" w:bidi="ar-SA"/>
        </w:rPr>
        <w:t xml:space="preserve">中标人应针对本项目提供详细、明确、具体的日常维护和应急解决方案，应据自身的实际情况提供详细具体的售后服务方案。</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（二）售后服务地点：采购人指定。</w:t>
      </w:r>
      <w:r/>
    </w:p>
    <w:p>
      <w:pPr>
        <w:ind w:firstLine="482"/>
        <w:jc w:val="both"/>
        <w:keepLines w:val="0"/>
        <w:keepNext w:val="0"/>
        <w:pageBreakBefore w:val="0"/>
        <w:spacing w:line="560" w:lineRule="exact"/>
        <w:widowControl w:val="off"/>
        <w:rPr>
          <w:rStyle w:val="847"/>
          <w:rFonts w:hint="eastAsia" w:ascii="宋体" w:hAnsi="宋体" w:eastAsia="宋体" w:cs="宋体"/>
          <w:b/>
          <w:bCs/>
          <w:color w:val="auto"/>
          <w:sz w:val="24"/>
          <w:szCs w:val="22"/>
          <w:highlight w:val="none"/>
          <w:lang w:val="en-US" w:eastAsia="zh-CN" w:bidi="ar-SA"/>
        </w:rPr>
        <w:outlineLvl w:val="1"/>
      </w:pPr>
      <w:r/>
      <w:bookmarkStart w:id="1133" w:name="_Toc27112"/>
      <w:r/>
      <w:bookmarkStart w:id="1134" w:name="_Toc20587"/>
      <w:r>
        <w:rPr>
          <w:rStyle w:val="847"/>
          <w:rFonts w:hint="eastAsia" w:ascii="宋体" w:hAnsi="宋体" w:eastAsia="宋体" w:cs="宋体"/>
          <w:b/>
          <w:bCs/>
          <w:color w:val="auto"/>
          <w:sz w:val="24"/>
          <w:szCs w:val="22"/>
          <w:highlight w:val="none"/>
          <w:lang w:val="en-US" w:eastAsia="zh-CN" w:bidi="ar-SA"/>
        </w:rPr>
        <w:t xml:space="preserve">七、其他要求</w:t>
      </w:r>
      <w:bookmarkEnd w:id="1133"/>
      <w:r/>
      <w:bookmarkEnd w:id="1134"/>
      <w:r/>
      <w:r/>
    </w:p>
    <w:p>
      <w:pPr>
        <w:ind w:firstLine="482"/>
        <w:keepLines w:val="0"/>
        <w:keepNext w:val="0"/>
        <w:pageBreakBefore w:val="0"/>
        <w:spacing w:line="560" w:lineRule="exact"/>
        <w:rPr>
          <w:rStyle w:val="847"/>
          <w:rFonts w:hint="eastAsia" w:ascii="宋体" w:hAnsi="宋体" w:eastAsia="宋体" w:cs="宋体"/>
          <w:b/>
          <w:bCs/>
          <w:color w:val="auto"/>
          <w:sz w:val="24"/>
          <w:highlight w:val="none"/>
          <w:lang w:val="en-US" w:eastAsia="zh-CN" w:bidi="ar-SA"/>
        </w:rPr>
      </w:pPr>
      <w:r>
        <w:rPr>
          <w:rStyle w:val="847"/>
          <w:rFonts w:hint="eastAsia" w:ascii="宋体" w:hAnsi="宋体" w:eastAsia="宋体" w:cs="宋体"/>
          <w:b/>
          <w:bCs/>
          <w:color w:val="auto"/>
          <w:sz w:val="24"/>
          <w:szCs w:val="21"/>
          <w:highlight w:val="none"/>
          <w:lang w:val="en-US" w:eastAsia="zh-CN" w:bidi="ar-SA"/>
        </w:rPr>
        <w:t xml:space="preserve">（一）项目实施方案</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1.送至采购人指定地点并按要求放置，必须依照招标文件的要求和投标文件的承诺，将货物保持最佳状态。</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2.货物无侵权行为、表面无划损、无任何缺陷隐患，在中国境内可依常规安全合法使用。</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3.货物为原厂商未启封全新包装，出厂合格证，序列号、包装箱号与出厂批号一致，并可追溯查阅，所有随设备的附件必须齐全。</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4.根据投标人的实施项目供货计划、工期安排、人员配备、货物实拍图、安装视频、操作手册、质量要求、项目验收方案等编制方案。</w:t>
      </w:r>
      <w:r/>
    </w:p>
    <w:p>
      <w:pPr>
        <w:ind w:firstLine="482"/>
        <w:keepLines w:val="0"/>
        <w:keepNext w:val="0"/>
        <w:pageBreakBefore w:val="0"/>
        <w:spacing w:line="560" w:lineRule="exact"/>
        <w:rPr>
          <w:rStyle w:val="847"/>
          <w:rFonts w:hint="eastAsia" w:ascii="宋体" w:hAnsi="宋体" w:eastAsia="宋体" w:cs="宋体"/>
          <w:b/>
          <w:bCs/>
          <w:color w:val="auto"/>
          <w:sz w:val="24"/>
          <w:highlight w:val="none"/>
          <w:lang w:val="en-US" w:eastAsia="zh-CN" w:bidi="ar-SA"/>
        </w:rPr>
      </w:pPr>
      <w:r>
        <w:rPr>
          <w:rStyle w:val="847"/>
          <w:rFonts w:hint="eastAsia" w:ascii="宋体" w:hAnsi="宋体" w:eastAsia="宋体" w:cs="宋体"/>
          <w:b/>
          <w:bCs/>
          <w:color w:val="auto"/>
          <w:sz w:val="24"/>
          <w:szCs w:val="21"/>
          <w:highlight w:val="none"/>
          <w:lang w:val="en-US" w:eastAsia="zh-CN" w:bidi="ar-SA"/>
        </w:rPr>
        <w:t xml:space="preserve">（二）验收</w:t>
      </w:r>
      <w:r/>
    </w:p>
    <w:p>
      <w:pPr>
        <w:ind w:firstLine="480"/>
        <w:keepLines w:val="0"/>
        <w:keepNext w:val="0"/>
        <w:pageBreakBefore w:val="0"/>
        <w:spacing w:line="560" w:lineRule="exact"/>
        <w:rPr>
          <w:rStyle w:val="847"/>
          <w:rFonts w:hint="eastAsia" w:ascii="宋体" w:hAnsi="宋体" w:eastAsia="宋体" w:cs="宋体"/>
          <w:bCs/>
          <w:color w:val="auto"/>
          <w:sz w:val="24"/>
          <w:highlight w:val="none"/>
          <w:lang w:val="en-US" w:eastAsia="zh-CN" w:bidi="ar-SA"/>
        </w:rPr>
      </w:pPr>
      <w:r>
        <w:rPr>
          <w:rStyle w:val="847"/>
          <w:rFonts w:hint="eastAsia" w:ascii="宋体" w:hAnsi="宋体" w:eastAsia="宋体" w:cs="宋体"/>
          <w:bCs/>
          <w:color w:val="auto"/>
          <w:sz w:val="24"/>
          <w:szCs w:val="21"/>
          <w:highlight w:val="none"/>
          <w:lang w:val="en-US" w:eastAsia="zh-CN" w:bidi="ar-SA"/>
        </w:rPr>
        <w:t xml:space="preserve">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keepLines w:val="0"/>
        <w:keepNext w:val="0"/>
        <w:pageBreakBefore w:val="0"/>
        <w:spacing w:line="560" w:lineRule="exact"/>
        <w:rPr>
          <w:rStyle w:val="847"/>
          <w:rFonts w:hint="eastAsia" w:ascii="宋体" w:hAnsi="宋体" w:eastAsia="宋体" w:cs="宋体"/>
          <w:bCs/>
          <w:color w:val="auto"/>
          <w:sz w:val="24"/>
          <w:szCs w:val="21"/>
          <w:highlight w:val="none"/>
          <w:lang w:val="en-US" w:eastAsia="zh-CN" w:bidi="ar-SA"/>
        </w:rPr>
      </w:pPr>
      <w:r>
        <w:rPr>
          <w:rStyle w:val="847"/>
          <w:rFonts w:hint="eastAsia" w:ascii="宋体" w:hAnsi="宋体" w:eastAsia="宋体" w:cs="宋体"/>
          <w:bCs/>
          <w:color w:val="auto"/>
          <w:sz w:val="24"/>
          <w:szCs w:val="21"/>
          <w:highlight w:val="none"/>
          <w:lang w:val="en-US" w:eastAsia="zh-CN" w:bidi="ar-SA"/>
        </w:rPr>
        <w:t xml:space="preserve">2.中标供应商根据招标要求进行产品的供货，在货物进场 15 日内，由采购人或采购人聘请技术专家或专业检测机构进行验收，因此支出的相关费用（包括但不限于检测费用及出具质量检测报告费用）均由中标供应商承担。</w:t>
      </w:r>
      <w:r/>
    </w:p>
    <w:p>
      <w:pPr>
        <w:ind w:firstLine="480"/>
        <w:keepLines w:val="0"/>
        <w:keepNext w:val="0"/>
        <w:pageBreakBefore w:val="0"/>
        <w:spacing w:line="560" w:lineRule="exact"/>
        <w:rPr>
          <w:rStyle w:val="847"/>
          <w:rFonts w:hint="eastAsia" w:ascii="宋体" w:hAnsi="宋体" w:eastAsia="宋体" w:cs="宋体"/>
          <w:bCs/>
          <w:color w:val="auto"/>
          <w:sz w:val="24"/>
          <w:szCs w:val="21"/>
          <w:highlight w:val="none"/>
          <w:lang w:val="en-US" w:eastAsia="zh-CN" w:bidi="ar-SA"/>
        </w:rPr>
      </w:pPr>
      <w:r>
        <w:rPr>
          <w:rStyle w:val="847"/>
          <w:rFonts w:hint="eastAsia" w:ascii="宋体" w:hAnsi="宋体" w:eastAsia="宋体" w:cs="宋体"/>
          <w:bCs/>
          <w:color w:val="auto"/>
          <w:sz w:val="24"/>
          <w:szCs w:val="21"/>
          <w:highlight w:val="none"/>
          <w:lang w:val="en-US" w:eastAsia="zh-CN" w:bidi="ar-SA"/>
        </w:rPr>
        <w:t xml:space="preserve">3.产品不能通过采购人验收的，供应商应在采购人规定的期限内进行整改，整改后仍不能通过验收的，采购人有权聘请第三方进行整改，由此产生的费用由供应商承担（费用总额不超过本合同总额），同时供应商还应承担逾期支付服务项目的违约责任，按合同约定向采购单位支付违约金，给采购单位造成经济损失的，还应赔偿损失金。</w:t>
      </w:r>
      <w:r/>
    </w:p>
    <w:p>
      <w:pPr>
        <w:ind w:firstLine="482"/>
        <w:keepLines w:val="0"/>
        <w:keepNext w:val="0"/>
        <w:pageBreakBefore w:val="0"/>
        <w:spacing w:line="560" w:lineRule="exact"/>
        <w:rPr>
          <w:rStyle w:val="847"/>
          <w:rFonts w:hint="eastAsia" w:ascii="宋体" w:hAnsi="宋体" w:eastAsia="宋体" w:cs="宋体"/>
          <w:b/>
          <w:bCs w:val="0"/>
          <w:color w:val="auto"/>
          <w:sz w:val="24"/>
          <w:szCs w:val="21"/>
          <w:highlight w:val="none"/>
          <w:lang w:val="en-US" w:eastAsia="zh-CN" w:bidi="ar-SA"/>
        </w:rPr>
      </w:pPr>
      <w:r>
        <w:rPr>
          <w:rStyle w:val="847"/>
          <w:rFonts w:hint="eastAsia" w:ascii="宋体" w:hAnsi="宋体" w:eastAsia="宋体" w:cs="宋体"/>
          <w:b/>
          <w:bCs w:val="0"/>
          <w:color w:val="auto"/>
          <w:sz w:val="24"/>
          <w:szCs w:val="21"/>
          <w:highlight w:val="none"/>
          <w:lang w:val="en-US" w:eastAsia="zh-CN" w:bidi="ar-SA"/>
        </w:rPr>
        <w:t xml:space="preserve">（三）应急响应要求</w:t>
      </w:r>
      <w:r/>
    </w:p>
    <w:p>
      <w:pPr>
        <w:ind w:firstLine="480"/>
        <w:keepLines w:val="0"/>
        <w:keepNext w:val="0"/>
        <w:pageBreakBefore w:val="0"/>
        <w:spacing w:line="560" w:lineRule="exact"/>
        <w:rPr>
          <w:rStyle w:val="847"/>
          <w:rFonts w:hint="eastAsia" w:ascii="宋体" w:hAnsi="宋体" w:eastAsia="宋体" w:cs="宋体"/>
          <w:color w:val="auto"/>
          <w:sz w:val="24"/>
          <w:szCs w:val="24"/>
          <w:highlight w:val="none"/>
          <w:lang w:val="en-US" w:eastAsia="zh-CN" w:bidi="ar-SA"/>
        </w:rPr>
      </w:pPr>
      <w:r>
        <w:rPr>
          <w:rStyle w:val="847"/>
          <w:rFonts w:hint="eastAsia" w:ascii="宋体" w:hAnsi="宋体" w:eastAsia="宋体" w:cs="宋体"/>
          <w:color w:val="auto"/>
          <w:sz w:val="24"/>
          <w:szCs w:val="24"/>
          <w:highlight w:val="none"/>
          <w:lang w:val="en-US" w:eastAsia="zh-CN" w:bidi="ar-SA"/>
        </w:rPr>
        <w:t xml:space="preserve">投标人应充分考虑履约过程可能遇到的各种突发情况，有针对性的制订预防措施，需在投标文件中进行注意阐述，并建立一个明确的沟通框架，包括定期回访、问题解决机制及变更管理流程。</w:t>
      </w:r>
      <w:r/>
    </w:p>
    <w:p>
      <w:pPr>
        <w:ind w:firstLine="482"/>
        <w:keepLines w:val="0"/>
        <w:keepNext w:val="0"/>
        <w:pageBreakBefore w:val="0"/>
        <w:spacing w:line="560" w:lineRule="exact"/>
        <w:rPr>
          <w:rStyle w:val="847"/>
          <w:rFonts w:hint="eastAsia" w:ascii="宋体" w:hAnsi="宋体" w:eastAsia="宋体" w:cs="宋体"/>
          <w:b/>
          <w:bCs w:val="0"/>
          <w:color w:val="auto"/>
          <w:sz w:val="24"/>
          <w:highlight w:val="none"/>
          <w:lang w:val="en-US" w:eastAsia="zh-CN" w:bidi="ar-SA"/>
        </w:rPr>
      </w:pPr>
      <w:r>
        <w:rPr>
          <w:rStyle w:val="847"/>
          <w:rFonts w:hint="eastAsia" w:ascii="宋体" w:hAnsi="宋体" w:eastAsia="宋体" w:cs="宋体"/>
          <w:b/>
          <w:bCs w:val="0"/>
          <w:color w:val="auto"/>
          <w:sz w:val="24"/>
          <w:szCs w:val="21"/>
          <w:highlight w:val="none"/>
          <w:lang w:val="en-US" w:eastAsia="zh-CN" w:bidi="ar-SA"/>
        </w:rPr>
        <w:t xml:space="preserve">（四）落实商品包装、快递包装政府采购需求标准</w:t>
      </w:r>
      <w:r/>
    </w:p>
    <w:p>
      <w:pPr>
        <w:ind w:firstLine="480"/>
        <w:keepLines w:val="0"/>
        <w:keepNext w:val="0"/>
        <w:pageBreakBefore w:val="0"/>
        <w:spacing w:line="560" w:lineRule="exact"/>
        <w:rPr>
          <w:rStyle w:val="847"/>
          <w:rFonts w:hint="eastAsia" w:ascii="宋体" w:hAnsi="宋体" w:eastAsia="宋体" w:cs="宋体"/>
          <w:bCs/>
          <w:color w:val="auto"/>
          <w:sz w:val="24"/>
          <w:highlight w:val="none"/>
          <w:lang w:val="en-US" w:eastAsia="zh-CN" w:bidi="ar-SA"/>
        </w:rPr>
      </w:pPr>
      <w:r>
        <w:rPr>
          <w:rStyle w:val="847"/>
          <w:rFonts w:hint="eastAsia" w:ascii="宋体" w:hAnsi="宋体" w:eastAsia="宋体" w:cs="宋体"/>
          <w:bCs/>
          <w:color w:val="auto"/>
          <w:sz w:val="24"/>
          <w:szCs w:val="21"/>
          <w:highlight w:val="none"/>
          <w:lang w:val="en-US" w:eastAsia="zh-CN" w:bidi="ar-SA"/>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ind w:firstLine="482"/>
        <w:keepLines w:val="0"/>
        <w:keepNext w:val="0"/>
        <w:pageBreakBefore w:val="0"/>
        <w:spacing w:line="560" w:lineRule="exact"/>
        <w:rPr>
          <w:rStyle w:val="847"/>
          <w:rFonts w:hint="eastAsia" w:ascii="宋体" w:hAnsi="宋体" w:eastAsia="宋体" w:cs="宋体"/>
          <w:b/>
          <w:bCs w:val="0"/>
          <w:color w:val="auto"/>
          <w:sz w:val="24"/>
          <w:highlight w:val="none"/>
          <w:lang w:val="en-US" w:eastAsia="zh-CN" w:bidi="ar-SA"/>
        </w:rPr>
      </w:pPr>
      <w:r>
        <w:rPr>
          <w:rStyle w:val="847"/>
          <w:rFonts w:hint="eastAsia" w:ascii="宋体" w:hAnsi="宋体" w:eastAsia="宋体" w:cs="宋体"/>
          <w:b/>
          <w:bCs w:val="0"/>
          <w:color w:val="auto"/>
          <w:sz w:val="24"/>
          <w:szCs w:val="21"/>
          <w:highlight w:val="none"/>
          <w:lang w:val="en-US" w:eastAsia="zh-CN" w:bidi="ar-SA"/>
        </w:rPr>
        <w:t xml:space="preserve">（五）落实节能、环保产品政策</w:t>
      </w:r>
      <w:r/>
    </w:p>
    <w:p>
      <w:pPr>
        <w:ind w:firstLine="480"/>
        <w:keepLines w:val="0"/>
        <w:keepNext w:val="0"/>
        <w:pageBreakBefore w:val="0"/>
        <w:spacing w:line="560" w:lineRule="exact"/>
        <w:rPr>
          <w:rStyle w:val="847"/>
          <w:rFonts w:hint="eastAsia" w:ascii="宋体" w:hAnsi="宋体" w:eastAsia="宋体" w:cs="宋体"/>
          <w:bCs/>
          <w:color w:val="auto"/>
          <w:sz w:val="24"/>
          <w:szCs w:val="21"/>
          <w:highlight w:val="none"/>
          <w:lang w:val="en-US" w:eastAsia="zh-CN" w:bidi="ar-SA"/>
        </w:rPr>
      </w:pPr>
      <w:r>
        <w:rPr>
          <w:rStyle w:val="847"/>
          <w:rFonts w:hint="eastAsia" w:ascii="宋体" w:hAnsi="宋体" w:eastAsia="宋体" w:cs="宋体"/>
          <w:bCs/>
          <w:color w:val="auto"/>
          <w:sz w:val="24"/>
          <w:szCs w:val="21"/>
          <w:highlight w:val="none"/>
          <w:lang w:val="en-US" w:eastAsia="zh-CN" w:bidi="ar-SA"/>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14"/>
        </w:numPr>
        <w:ind w:firstLine="482"/>
        <w:keepLines w:val="0"/>
        <w:keepNext w:val="0"/>
        <w:pageBreakBefore w:val="0"/>
        <w:spacing w:line="560" w:lineRule="exact"/>
        <w:rPr>
          <w:rStyle w:val="847"/>
          <w:rFonts w:hint="eastAsia" w:ascii="宋体" w:hAnsi="宋体" w:eastAsia="宋体" w:cs="宋体"/>
          <w:b/>
          <w:bCs w:val="0"/>
          <w:color w:val="auto"/>
          <w:sz w:val="24"/>
          <w:szCs w:val="21"/>
          <w:highlight w:val="none"/>
          <w:lang w:val="en-US" w:eastAsia="zh-CN" w:bidi="ar-SA"/>
        </w:rPr>
      </w:pPr>
      <w:r>
        <w:rPr>
          <w:rStyle w:val="847"/>
          <w:rFonts w:hint="eastAsia" w:ascii="宋体" w:hAnsi="宋体" w:eastAsia="宋体" w:cs="宋体"/>
          <w:b/>
          <w:bCs w:val="0"/>
          <w:color w:val="auto"/>
          <w:sz w:val="24"/>
          <w:szCs w:val="21"/>
          <w:highlight w:val="none"/>
          <w:lang w:val="en-US" w:eastAsia="zh-CN" w:bidi="ar-SA"/>
        </w:rPr>
        <w:t xml:space="preserve">采购本国产品的支持政策</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本项目政府采购活动中既有本国产品又有非本国产品参与竞争的，</w:t>
      </w:r>
      <w:bookmarkStart w:id="1135" w:name="OLE_LINK7"/>
      <w:r>
        <w:rPr>
          <w:rFonts w:hint="eastAsia" w:ascii="宋体" w:hAnsi="宋体" w:eastAsia="宋体" w:cs="宋体"/>
          <w:sz w:val="24"/>
          <w:highlight w:val="none"/>
        </w:rPr>
        <w:t xml:space="preserve">依法对本国产品给予价格评审优惠，对本国产品的报价给予</w:t>
      </w:r>
      <w:r>
        <w:rPr>
          <w:rFonts w:hint="eastAsia" w:ascii="宋体" w:hAnsi="宋体" w:eastAsia="宋体" w:cs="宋体"/>
          <w:b/>
          <w:bCs/>
          <w:sz w:val="24"/>
          <w:highlight w:val="none"/>
          <w:u w:val="single"/>
        </w:rPr>
        <w:t xml:space="preserve">20%</w:t>
      </w:r>
      <w:r>
        <w:rPr>
          <w:rFonts w:hint="eastAsia" w:ascii="宋体" w:hAnsi="宋体" w:eastAsia="宋体" w:cs="宋体"/>
          <w:sz w:val="24"/>
          <w:highlight w:val="none"/>
        </w:rPr>
        <w:t xml:space="preserve">的价格扣除，用扣除后的价格参与评审。</w:t>
      </w:r>
      <w:bookmarkEnd w:id="1135"/>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sz w:val="24"/>
          <w:highlight w:val="none"/>
        </w:rPr>
        <w:t xml:space="preserve">80%以上</w:t>
      </w:r>
      <w:r>
        <w:rPr>
          <w:rFonts w:hint="eastAsia" w:ascii="宋体" w:hAnsi="宋体" w:eastAsia="宋体" w:cs="宋体"/>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47"/>
          <w:rFonts w:hint="eastAsia" w:ascii="宋体" w:hAnsi="宋体" w:eastAsia="宋体" w:cs="宋体"/>
          <w:bCs/>
          <w:color w:val="auto"/>
          <w:sz w:val="24"/>
          <w:szCs w:val="21"/>
          <w:highlight w:val="none"/>
          <w:lang w:val="en-US" w:eastAsia="zh-CN" w:bidi="ar-SA"/>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numPr>
          <w:ilvl w:val="0"/>
          <w:numId w:val="14"/>
        </w:numPr>
        <w:ind w:firstLine="482"/>
        <w:keepLines w:val="0"/>
        <w:keepNext w:val="0"/>
        <w:pageBreakBefore w:val="0"/>
        <w:spacing w:line="560" w:lineRule="exact"/>
        <w:rPr>
          <w:rStyle w:val="847"/>
          <w:rFonts w:hint="eastAsia" w:ascii="宋体" w:hAnsi="宋体" w:eastAsia="宋体" w:cs="宋体"/>
          <w:b/>
          <w:bCs w:val="0"/>
          <w:color w:val="auto"/>
          <w:sz w:val="24"/>
          <w:szCs w:val="21"/>
          <w:highlight w:val="none"/>
          <w:lang w:val="en-US" w:eastAsia="zh-CN" w:bidi="ar-SA"/>
        </w:rPr>
      </w:pPr>
      <w:r>
        <w:rPr>
          <w:rStyle w:val="847"/>
          <w:rFonts w:hint="eastAsia" w:ascii="宋体" w:hAnsi="宋体" w:eastAsia="宋体" w:cs="宋体"/>
          <w:b/>
          <w:bCs w:val="0"/>
          <w:color w:val="auto"/>
          <w:sz w:val="24"/>
          <w:szCs w:val="21"/>
          <w:highlight w:val="none"/>
          <w:lang w:val="en-US" w:eastAsia="zh-CN" w:bidi="ar-SA"/>
        </w:rPr>
        <w:t xml:space="preserve">注意事项</w:t>
      </w:r>
      <w:r/>
    </w:p>
    <w:p>
      <w:pPr>
        <w:ind w:firstLine="480"/>
        <w:jc w:val="both"/>
        <w:keepLines w:val="0"/>
        <w:keepNext w:val="0"/>
        <w:pageBreakBefore w:val="0"/>
        <w:spacing w:line="560" w:lineRule="exact"/>
        <w:widowControl w:val="off"/>
        <w:rPr>
          <w:rStyle w:val="847"/>
          <w:rFonts w:hint="eastAsia" w:ascii="宋体" w:hAnsi="宋体" w:eastAsia="宋体" w:cs="宋体"/>
          <w:bCs/>
          <w:color w:val="auto"/>
          <w:sz w:val="24"/>
          <w:szCs w:val="20"/>
          <w:highlight w:val="none"/>
          <w:lang w:val="en-US" w:eastAsia="zh-CN" w:bidi="ar-SA"/>
        </w:rPr>
      </w:pPr>
      <w:r>
        <w:rPr>
          <w:rStyle w:val="847"/>
          <w:rFonts w:hint="eastAsia" w:ascii="宋体" w:hAnsi="宋体" w:eastAsia="宋体" w:cs="宋体"/>
          <w:bCs/>
          <w:color w:val="auto"/>
          <w:sz w:val="24"/>
          <w:szCs w:val="20"/>
          <w:highlight w:val="none"/>
          <w:lang w:val="en-US" w:eastAsia="zh-CN" w:bidi="ar-SA"/>
        </w:rPr>
        <w:t xml:space="preserve">1.本项目对任何有选择的报价将不予接受，只允许有一个报价。报价内容包括: 货物本身价格、辅材、运输、装卸、人工、产品损耗、印刷标志等相关工作、售后服务及货物交付使用过程中涉及到的其他一切费用。 </w:t>
      </w:r>
      <w:r/>
    </w:p>
    <w:p>
      <w:pPr>
        <w:ind w:firstLine="480"/>
        <w:jc w:val="both"/>
        <w:keepLines w:val="0"/>
        <w:keepNext w:val="0"/>
        <w:pageBreakBefore w:val="0"/>
        <w:spacing w:line="560" w:lineRule="exact"/>
        <w:widowControl w:val="off"/>
        <w:rPr>
          <w:rStyle w:val="847"/>
          <w:rFonts w:hint="eastAsia" w:ascii="宋体" w:hAnsi="宋体" w:eastAsia="宋体" w:cs="宋体"/>
          <w:bCs/>
          <w:color w:val="auto"/>
          <w:sz w:val="24"/>
          <w:szCs w:val="20"/>
          <w:highlight w:val="none"/>
          <w:lang w:val="en-US" w:eastAsia="zh-CN" w:bidi="ar-SA"/>
        </w:rPr>
      </w:pPr>
      <w:r>
        <w:rPr>
          <w:rStyle w:val="847"/>
          <w:rFonts w:hint="eastAsia" w:ascii="宋体" w:hAnsi="宋体" w:eastAsia="宋体" w:cs="宋体"/>
          <w:bCs/>
          <w:color w:val="auto"/>
          <w:sz w:val="24"/>
          <w:szCs w:val="20"/>
          <w:highlight w:val="none"/>
          <w:lang w:val="en-US" w:eastAsia="zh-CN" w:bidi="ar-SA"/>
        </w:rPr>
        <w:t xml:space="preserve">2.供应商报价时应充分考虑所有可能影响到报价的因素，一旦最终中标，总价将包定。不予调整。如发生漏、缺、少项，都将被认为是成交人的报价让利行为，损失自负。</w:t>
      </w:r>
      <w:r/>
    </w:p>
    <w:p>
      <w:pPr>
        <w:ind w:firstLine="480"/>
        <w:jc w:val="both"/>
        <w:keepLines w:val="0"/>
        <w:keepNext w:val="0"/>
        <w:pageBreakBefore w:val="0"/>
        <w:spacing w:line="560" w:lineRule="exact"/>
        <w:widowControl w:val="off"/>
        <w:rPr>
          <w:rStyle w:val="847"/>
          <w:rFonts w:hint="eastAsia" w:ascii="宋体" w:hAnsi="宋体" w:eastAsia="宋体" w:cs="宋体"/>
          <w:bCs/>
          <w:color w:val="auto"/>
          <w:sz w:val="24"/>
          <w:szCs w:val="20"/>
          <w:highlight w:val="none"/>
          <w:lang w:val="en-US" w:eastAsia="zh-CN" w:bidi="ar-SA"/>
        </w:rPr>
      </w:pPr>
      <w:r>
        <w:rPr>
          <w:rStyle w:val="847"/>
          <w:rFonts w:hint="eastAsia" w:ascii="宋体" w:hAnsi="宋体" w:eastAsia="宋体" w:cs="宋体"/>
          <w:bCs/>
          <w:color w:val="auto"/>
          <w:sz w:val="24"/>
          <w:szCs w:val="20"/>
          <w:highlight w:val="none"/>
          <w:lang w:val="en-US" w:eastAsia="zh-CN" w:bidi="ar-SA"/>
        </w:rPr>
        <w:t xml:space="preserve">备注：1.★部分为实质性要求，不接受负偏离。否则，作为无效标处理。</w:t>
      </w:r>
      <w:r/>
    </w:p>
    <w:p>
      <w:pPr>
        <w:ind w:firstLine="480"/>
        <w:jc w:val="both"/>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bidi="ar-SA"/>
        </w:rPr>
      </w:pPr>
      <w:r>
        <w:rPr>
          <w:rStyle w:val="847"/>
          <w:rFonts w:hint="eastAsia" w:ascii="宋体" w:hAnsi="宋体" w:eastAsia="宋体" w:cs="宋体"/>
          <w:bCs/>
          <w:color w:val="auto"/>
          <w:sz w:val="24"/>
          <w:szCs w:val="20"/>
          <w:highlight w:val="none"/>
          <w:lang w:val="en-US" w:eastAsia="zh-CN" w:bidi="ar-SA"/>
        </w:rPr>
        <w:t xml:space="preserve">2.本项目所涉及的均为推荐品牌，中标人选投非推荐品牌的，需提供相关资料证明其技术性能及质量等级等于或高于推荐品牌。</w:t>
      </w:r>
      <w:bookmarkEnd w:id="192"/>
      <w:r/>
      <w:r/>
    </w:p>
    <w:p>
      <w:pPr>
        <w:pStyle w:val="1022"/>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val="0"/>
          <w:color w:val="auto"/>
          <w:sz w:val="44"/>
          <w:highlight w:val="none"/>
        </w:rPr>
      </w:pPr>
      <w:r/>
      <w:bookmarkStart w:id="1136" w:name="_Toc7441"/>
      <w:r>
        <w:rPr>
          <w:rFonts w:hint="eastAsia" w:ascii="宋体" w:hAnsi="宋体" w:eastAsia="宋体" w:cs="宋体"/>
          <w:b/>
          <w:bCs w:val="0"/>
          <w:color w:val="auto"/>
          <w:sz w:val="44"/>
          <w:highlight w:val="none"/>
        </w:rPr>
        <w:br w:type="page" w:clear="all"/>
      </w:r>
      <w:r/>
    </w:p>
    <w:p>
      <w:pPr>
        <w:pStyle w:val="838"/>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1136"/>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848"/>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848"/>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符合</w:t>
            </w:r>
            <w:r>
              <w:rPr>
                <w:rFonts w:hint="eastAsia" w:ascii="宋体" w:hAnsi="宋体" w:eastAsia="宋体" w:cs="宋体"/>
                <w:color w:val="auto"/>
                <w:sz w:val="24"/>
                <w:szCs w:val="28"/>
                <w:highlight w:val="none"/>
                <w:lang w:val="en-US" w:eastAsia="zh-CN"/>
              </w:rPr>
              <w:t xml:space="preserve">相关规定</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numPr>
          <w:ilvl w:val="0"/>
          <w:numId w:val="15"/>
        </w:num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48"/>
        <w:tblW w:w="5051"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51"/>
        <w:gridCol w:w="2072"/>
        <w:gridCol w:w="906"/>
        <w:gridCol w:w="4531"/>
      </w:tblGrid>
      <w:tr>
        <w:trPr/>
        <w:tc>
          <w:tcPr>
            <w:gridSpan w:val="2"/>
            <w:tcBorders>
              <w:top w:val="single" w:color="auto" w:sz="6" w:space="0"/>
              <w:left w:val="single" w:color="auto" w:sz="6" w:space="0"/>
              <w:bottom w:val="single" w:color="auto" w:sz="6" w:space="0"/>
              <w:right w:val="single" w:color="auto" w:sz="6" w:space="0"/>
            </w:tcBorders>
            <w:tcW w:w="1999"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评审标准</w:t>
            </w:r>
            <w:r/>
          </w:p>
        </w:tc>
      </w:tr>
      <w:tr>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报价分</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投标报价</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30.00分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color w:val="auto"/>
              </w:rPr>
            </w:pPr>
            <w:r>
              <w:rPr>
                <w:rFonts w:hint="eastAsia" w:ascii="宋体" w:hAnsi="宋体" w:eastAsia="宋体" w:cs="宋体"/>
                <w:color w:val="auto"/>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技术响应</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技术参数响应</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30.00分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针对</w:t>
            </w:r>
            <w:r>
              <w:rPr>
                <w:rFonts w:hint="eastAsia" w:ascii="宋体" w:hAnsi="宋体" w:eastAsia="宋体" w:cs="宋体"/>
                <w:color w:val="auto"/>
                <w:highlight w:val="none"/>
              </w:rPr>
              <w:t xml:space="preserve">招标文件“第四章、采购需求”中的“二、采购清单及技术</w:t>
            </w:r>
            <w:r>
              <w:rPr>
                <w:rFonts w:hint="eastAsia" w:ascii="宋体" w:hAnsi="宋体" w:eastAsia="宋体" w:cs="宋体"/>
                <w:color w:val="auto"/>
                <w:highlight w:val="none"/>
                <w:lang w:val="en-US" w:eastAsia="zh-CN"/>
              </w:rPr>
              <w:t xml:space="preserve">参数”所列内容进行评分，</w:t>
            </w:r>
            <w:r>
              <w:rPr>
                <w:rFonts w:hint="eastAsia" w:ascii="宋体" w:hAnsi="宋体" w:eastAsia="宋体" w:cs="宋体"/>
                <w:color w:val="auto"/>
                <w:highlight w:val="none"/>
              </w:rPr>
              <w:t xml:space="preserve">投标人所投产品的技术性能、功能、参数、规格等能够完全满足招标文件要求的得基本分</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0分。</w:t>
            </w:r>
            <w:r/>
          </w:p>
          <w:p>
            <w:pPr>
              <w:jc w:val="left"/>
              <w:rPr>
                <w:rFonts w:hint="eastAsia" w:ascii="宋体" w:hAnsi="宋体" w:eastAsia="宋体" w:cs="宋体"/>
                <w:color w:val="auto"/>
                <w:highlight w:val="none"/>
                <w:lang w:val="en-US" w:eastAsia="zh-CN"/>
              </w:rPr>
            </w:pPr>
            <w:r>
              <w:rPr>
                <w:rFonts w:hint="eastAsia" w:ascii="宋体" w:hAnsi="宋体" w:eastAsia="宋体" w:cs="宋体"/>
                <w:color w:val="auto"/>
                <w:lang w:val="en-US" w:eastAsia="zh-CN"/>
              </w:rPr>
              <w:t xml:space="preserve">1</w:t>
            </w:r>
            <w:r>
              <w:rPr>
                <w:rFonts w:hint="eastAsia" w:ascii="宋体" w:hAnsi="宋体" w:eastAsia="宋体" w:cs="宋体"/>
                <w:color w:val="auto"/>
                <w:sz w:val="21"/>
                <w:szCs w:val="21"/>
                <w:lang w:val="en-US" w:eastAsia="en-US" w:bidi="ar-SA"/>
              </w:rPr>
              <w:t xml:space="preserve">、“▲”为重点参数要求，每有一项（共</w:t>
            </w:r>
            <w:r>
              <w:rPr>
                <w:rFonts w:hint="eastAsia" w:ascii="宋体" w:hAnsi="宋体" w:eastAsia="宋体" w:cs="宋体"/>
                <w:color w:val="auto"/>
                <w:sz w:val="21"/>
                <w:szCs w:val="21"/>
                <w:lang w:val="en-US" w:eastAsia="zh-CN" w:bidi="ar-SA"/>
              </w:rPr>
              <w:t xml:space="preserve">9</w:t>
            </w:r>
            <w:r>
              <w:rPr>
                <w:rFonts w:hint="eastAsia" w:ascii="宋体" w:hAnsi="宋体" w:eastAsia="宋体" w:cs="宋体"/>
                <w:color w:val="auto"/>
                <w:sz w:val="21"/>
                <w:szCs w:val="21"/>
                <w:lang w:val="en-US" w:eastAsia="en-US" w:bidi="ar-SA"/>
              </w:rPr>
              <w:t xml:space="preserve">项）不满足的扣2分，共</w:t>
            </w:r>
            <w:r>
              <w:rPr>
                <w:rFonts w:hint="eastAsia" w:ascii="宋体" w:hAnsi="宋体" w:eastAsia="宋体" w:cs="宋体"/>
                <w:color w:val="auto"/>
                <w:sz w:val="21"/>
                <w:szCs w:val="21"/>
                <w:lang w:val="en-US" w:eastAsia="zh-CN" w:bidi="ar-SA"/>
              </w:rPr>
              <w:t xml:space="preserve">18</w:t>
            </w:r>
            <w:r>
              <w:rPr>
                <w:rFonts w:hint="eastAsia" w:ascii="宋体" w:hAnsi="宋体" w:eastAsia="宋体" w:cs="宋体"/>
                <w:color w:val="auto"/>
                <w:sz w:val="21"/>
                <w:szCs w:val="21"/>
                <w:lang w:val="en-US" w:eastAsia="en-US" w:bidi="ar-SA"/>
              </w:rPr>
              <w:t xml:space="preserve">分；</w:t>
            </w:r>
            <w:r/>
          </w:p>
          <w:p>
            <w:pPr>
              <w:jc w:val="left"/>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t xml:space="preserve">2、其余指标为一般性指标，每有一项（共</w:t>
            </w:r>
            <w:r>
              <w:rPr>
                <w:rFonts w:hint="eastAsia" w:ascii="宋体" w:hAnsi="宋体" w:eastAsia="宋体" w:cs="宋体"/>
                <w:color w:val="auto"/>
                <w:sz w:val="21"/>
                <w:szCs w:val="21"/>
                <w:lang w:val="en-US" w:eastAsia="zh-CN" w:bidi="ar-SA"/>
              </w:rPr>
              <w:t xml:space="preserve">12</w:t>
            </w:r>
            <w:r>
              <w:rPr>
                <w:rFonts w:hint="eastAsia" w:ascii="宋体" w:hAnsi="宋体" w:eastAsia="宋体" w:cs="宋体"/>
                <w:color w:val="auto"/>
                <w:sz w:val="21"/>
                <w:szCs w:val="21"/>
                <w:lang w:val="en-US" w:eastAsia="en-US" w:bidi="ar-SA"/>
              </w:rPr>
              <w:t xml:space="preserve">项）负偏离扣</w:t>
            </w: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en-US" w:eastAsia="en-US" w:bidi="ar-SA"/>
              </w:rPr>
              <w:t xml:space="preserve">分，共</w:t>
            </w:r>
            <w:r>
              <w:rPr>
                <w:rFonts w:hint="eastAsia" w:ascii="宋体" w:hAnsi="宋体" w:eastAsia="宋体" w:cs="宋体"/>
                <w:color w:val="auto"/>
                <w:sz w:val="21"/>
                <w:szCs w:val="21"/>
                <w:lang w:val="en-US" w:eastAsia="zh-CN" w:bidi="ar-SA"/>
              </w:rPr>
              <w:t xml:space="preserve">12</w:t>
            </w:r>
            <w:r>
              <w:rPr>
                <w:rFonts w:hint="eastAsia" w:ascii="宋体" w:hAnsi="宋体" w:eastAsia="宋体" w:cs="宋体"/>
                <w:color w:val="auto"/>
                <w:sz w:val="21"/>
                <w:szCs w:val="21"/>
                <w:lang w:val="en-US" w:eastAsia="en-US" w:bidi="ar-SA"/>
              </w:rPr>
              <w:t xml:space="preserve">分。</w:t>
            </w:r>
            <w:r/>
          </w:p>
          <w:p>
            <w:pPr>
              <w:jc w:val="left"/>
              <w:rPr>
                <w:rFonts w:hint="eastAsia" w:ascii="宋体" w:hAnsi="宋体" w:eastAsia="宋体" w:cs="宋体"/>
                <w:color w:val="auto"/>
                <w:highlight w:val="none"/>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lang w:val="en-US" w:eastAsia="en-US" w:bidi="ar-SA"/>
              </w:rPr>
              <w:t xml:space="preserve">、</w:t>
            </w:r>
            <w:r>
              <w:rPr>
                <w:rFonts w:hint="eastAsia" w:ascii="宋体" w:hAnsi="宋体" w:eastAsia="宋体" w:cs="宋体"/>
                <w:color w:val="auto"/>
              </w:rPr>
              <w:t xml:space="preserve">★号部分为实质性相应不接受负偏离，否则作无效投标</w:t>
            </w:r>
            <w:r>
              <w:rPr>
                <w:rFonts w:hint="eastAsia" w:ascii="宋体" w:hAnsi="宋体" w:eastAsia="宋体" w:cs="宋体"/>
                <w:color w:val="auto"/>
                <w:lang w:val="en-US" w:eastAsia="zh-CN"/>
              </w:rPr>
              <w:t xml:space="preserve">处理。</w:t>
            </w:r>
            <w:r/>
          </w:p>
          <w:p>
            <w:pPr>
              <w:jc w:val="left"/>
              <w:rPr>
                <w:rFonts w:hint="eastAsia" w:ascii="宋体" w:hAnsi="宋体" w:eastAsia="宋体" w:cs="宋体"/>
                <w:color w:val="auto"/>
              </w:rPr>
            </w:pPr>
            <w:r>
              <w:rPr>
                <w:rFonts w:hint="eastAsia" w:ascii="宋体" w:hAnsi="宋体" w:eastAsia="宋体" w:cs="宋体"/>
                <w:color w:val="auto"/>
              </w:rPr>
              <w:t xml:space="preserve">注</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1</w:t>
            </w:r>
            <w:r>
              <w:rPr>
                <w:rFonts w:hint="eastAsia" w:ascii="宋体" w:hAnsi="宋体" w:eastAsia="宋体" w:cs="宋体"/>
                <w:color w:val="auto"/>
                <w:sz w:val="21"/>
                <w:szCs w:val="21"/>
                <w:lang w:val="en-US" w:eastAsia="en-US" w:bidi="ar-SA"/>
              </w:rPr>
              <w:t xml:space="preserve">、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rPr>
                <w:rFonts w:hint="eastAsia" w:ascii="宋体" w:hAnsi="宋体" w:eastAsia="宋体" w:cs="宋体"/>
                <w:color w:val="auto"/>
                <w:sz w:val="21"/>
                <w:szCs w:val="21"/>
                <w:lang w:val="en-US" w:eastAsia="zh-CN" w:bidi="ar-SA"/>
              </w:rPr>
              <w:t xml:space="preserve">。</w:t>
            </w:r>
            <w:r/>
          </w:p>
        </w:tc>
      </w:tr>
      <w:tr>
        <w:trPr/>
        <w:tc>
          <w:tcPr>
            <w:tcBorders>
              <w:top w:val="single" w:color="auto" w:sz="6" w:space="0"/>
              <w:left w:val="single" w:color="auto" w:sz="6" w:space="0"/>
              <w:bottom w:val="single" w:color="auto" w:sz="6" w:space="0"/>
              <w:right w:val="single" w:color="auto" w:sz="6" w:space="0"/>
            </w:tcBorders>
            <w:tcW w:w="85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企业经营业绩、信誉</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企业业绩</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6.00分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85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企业荣誉、证书及综合实力</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4.00分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1、投标</w:t>
            </w:r>
            <w:r>
              <w:rPr>
                <w:rFonts w:hint="eastAsia" w:ascii="宋体" w:hAnsi="宋体" w:eastAsia="宋体" w:cs="宋体"/>
                <w:lang w:val="en-US" w:eastAsia="zh-CN"/>
              </w:rPr>
              <w:t xml:space="preserve">产品</w:t>
            </w:r>
            <w:r>
              <w:rPr>
                <w:rFonts w:hint="eastAsia" w:ascii="宋体" w:hAnsi="宋体" w:eastAsia="宋体" w:cs="宋体"/>
              </w:rPr>
              <w:t xml:space="preserve">提供有效期内的质量体系认证、环境管理体系认证、职业健康安全管理体系认证</w:t>
            </w:r>
            <w:r>
              <w:rPr>
                <w:rFonts w:hint="eastAsia" w:ascii="宋体" w:hAnsi="宋体" w:eastAsia="宋体" w:cs="宋体"/>
                <w:lang w:eastAsia="zh-CN"/>
              </w:rPr>
              <w:t xml:space="preserve">的</w:t>
            </w:r>
            <w:r>
              <w:rPr>
                <w:rFonts w:hint="eastAsia" w:ascii="宋体" w:hAnsi="宋体" w:eastAsia="宋体" w:cs="宋体"/>
              </w:rPr>
              <w:t xml:space="preserve">每有一个得1分，最高得3分。</w:t>
            </w:r>
            <w:r/>
          </w:p>
          <w:p>
            <w:pPr>
              <w:jc w:val="left"/>
              <w:rPr>
                <w:rFonts w:hint="eastAsia" w:ascii="宋体" w:hAnsi="宋体" w:eastAsia="宋体" w:cs="宋体"/>
              </w:rPr>
            </w:pPr>
            <w:r>
              <w:rPr>
                <w:rFonts w:hint="eastAsia" w:ascii="宋体" w:hAnsi="宋体" w:eastAsia="宋体" w:cs="宋体"/>
              </w:rPr>
              <w:t xml:space="preserve">2、投标</w:t>
            </w:r>
            <w:r>
              <w:rPr>
                <w:rFonts w:hint="eastAsia" w:ascii="宋体" w:hAnsi="宋体" w:eastAsia="宋体" w:cs="宋体"/>
                <w:lang w:val="en-US" w:eastAsia="zh-CN"/>
              </w:rPr>
              <w:t xml:space="preserve">产品</w:t>
            </w:r>
            <w:r>
              <w:rPr>
                <w:rFonts w:hint="eastAsia" w:ascii="宋体" w:hAnsi="宋体" w:eastAsia="宋体" w:cs="宋体"/>
              </w:rPr>
              <w:t xml:space="preserve">获得中国绿色材料标志授权使用证书的得1分。</w:t>
            </w:r>
            <w:r/>
          </w:p>
          <w:p>
            <w:pPr>
              <w:jc w:val="left"/>
              <w:rPr>
                <w:rFonts w:hint="eastAsia" w:ascii="宋体" w:hAnsi="宋体" w:eastAsia="宋体" w:cs="宋体"/>
              </w:rPr>
            </w:pPr>
            <w:r>
              <w:rPr>
                <w:rFonts w:hint="eastAsia" w:ascii="宋体" w:hAnsi="宋体" w:eastAsia="宋体" w:cs="宋体"/>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856" w:type="pct"/>
            <w:vAlign w:val="center"/>
            <w:vMerge w:val="restart"/>
            <w:textDirection w:val="lrTb"/>
            <w:noWrap w:val="false"/>
          </w:tcPr>
          <w:p>
            <w:pPr>
              <w:jc w:val="left"/>
              <w:rPr>
                <w:rFonts w:hint="eastAsia" w:ascii="宋体" w:hAnsi="宋体" w:eastAsia="宋体" w:cs="宋体"/>
              </w:rPr>
            </w:pPr>
            <w:r>
              <w:rPr>
                <w:rFonts w:hint="eastAsia" w:ascii="宋体" w:hAnsi="宋体" w:eastAsia="宋体" w:cs="宋体"/>
              </w:rPr>
              <w:t xml:space="preserve">项目实施方案</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highlight w:val="none"/>
              </w:rPr>
            </w:pPr>
            <w:r>
              <w:rPr>
                <w:rFonts w:hint="eastAsia" w:ascii="宋体" w:hAnsi="宋体" w:eastAsia="宋体" w:cs="宋体"/>
                <w:highlight w:val="none"/>
                <w:lang w:val="en-US" w:eastAsia="zh-CN"/>
              </w:rPr>
              <w:t xml:space="preserve">供应商根据招标文件“第四章、采购需求-七、其他要求（一）项目实施方案”内容提供总体实施方案</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包含供货计划</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原材料采购</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生产工艺</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生产机械及人员配备</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货物实拍图、安装视频</w:t>
            </w:r>
            <w:r>
              <w:rPr>
                <w:rFonts w:hint="eastAsia" w:ascii="宋体" w:hAnsi="宋体" w:eastAsia="宋体" w:cs="宋体"/>
                <w:highlight w:val="none"/>
              </w:rPr>
              <w:t xml:space="preserve">等内容。</w:t>
            </w:r>
            <w:r>
              <w:rPr>
                <w:rFonts w:hint="eastAsia" w:ascii="宋体" w:hAnsi="宋体" w:eastAsia="宋体" w:cs="宋体"/>
                <w:highlight w:val="none"/>
                <w:lang w:val="en-US" w:eastAsia="zh-CN"/>
              </w:rPr>
              <w:t xml:space="preserve">实施方案</w:t>
            </w:r>
            <w:r>
              <w:rPr>
                <w:rFonts w:hint="eastAsia" w:ascii="宋体" w:hAnsi="宋体" w:eastAsia="宋体" w:cs="宋体"/>
                <w:highlight w:val="none"/>
              </w:rPr>
              <w:t xml:space="preserve">内容符合实际、结构严谨、内容完整详实、能够针对采购项目内容要求而细化制定、项目实施运行机制健全且优于采购需求的得</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分；方案完整、制定的措施较齐全、方案表述有偏差、但不影响实质性意思表达、能够满足采购需求的得</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分；有项目实施方案、但方案内容笼统、针对本项目制定未细致、但承诺经过优化可实现采购需求的得</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85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质量保障措施要求</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6.00分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rPr>
            </w:pPr>
            <w:r>
              <w:rPr>
                <w:rFonts w:hint="eastAsia" w:ascii="宋体" w:hAnsi="宋体" w:eastAsia="宋体" w:cs="宋体"/>
                <w:color w:val="000000"/>
                <w:lang w:val="en-US" w:eastAsia="zh-CN"/>
              </w:rPr>
              <w:t xml:space="preserve">供应商根据招标文件“第四章、采购需求-二、合同履行期限、质保期、质量要求及供货地点等内容提供</w:t>
            </w:r>
            <w:r>
              <w:rPr>
                <w:rFonts w:hint="eastAsia" w:ascii="宋体" w:hAnsi="宋体" w:eastAsia="宋体" w:cs="宋体"/>
                <w:color w:val="000000"/>
              </w:rPr>
              <w:t xml:space="preserve">质量保障措施要求</w:t>
            </w:r>
            <w:r>
              <w:rPr>
                <w:rFonts w:hint="eastAsia" w:ascii="宋体" w:hAnsi="宋体" w:eastAsia="宋体" w:cs="宋体"/>
                <w:color w:val="000000"/>
                <w:lang w:val="en-US" w:eastAsia="zh-CN"/>
              </w:rPr>
              <w:t xml:space="preserve">方案，</w:t>
            </w:r>
            <w:r>
              <w:rPr>
                <w:rFonts w:hint="eastAsia" w:ascii="宋体" w:hAnsi="宋体" w:eastAsia="宋体" w:cs="宋体"/>
                <w:color w:val="000000"/>
              </w:rPr>
              <w:t xml:space="preserve">投标人应在投标文件中提出详细的产品生产质量管理计划，计划应包含生产车间安全管理、质量控制措施、出厂检验标准以及测试程序</w:t>
            </w:r>
            <w:r>
              <w:rPr>
                <w:rFonts w:hint="eastAsia" w:ascii="宋体" w:hAnsi="宋体" w:eastAsia="宋体" w:cs="宋体"/>
                <w:color w:val="000000"/>
                <w:lang w:val="en-US" w:eastAsia="zh-CN"/>
              </w:rPr>
              <w:t xml:space="preserve">等</w:t>
            </w:r>
            <w:r>
              <w:rPr>
                <w:rFonts w:hint="eastAsia" w:ascii="宋体" w:hAnsi="宋体" w:eastAsia="宋体" w:cs="宋体"/>
                <w:color w:val="000000"/>
              </w:rPr>
              <w:t xml:space="preserve">。</w:t>
            </w:r>
            <w:r>
              <w:rPr>
                <w:rFonts w:hint="eastAsia" w:ascii="宋体" w:hAnsi="宋体" w:eastAsia="宋体" w:cs="宋体"/>
                <w:lang w:val="en-US" w:eastAsia="zh-CN"/>
              </w:rPr>
              <w:t xml:space="preserve">提供</w:t>
            </w:r>
            <w:r>
              <w:rPr>
                <w:rFonts w:hint="eastAsia" w:ascii="宋体" w:hAnsi="宋体" w:eastAsia="宋体" w:cs="宋体"/>
              </w:rPr>
              <w:t xml:space="preserve">质量保障措施</w:t>
            </w:r>
            <w:r>
              <w:rPr>
                <w:rFonts w:hint="eastAsia" w:ascii="宋体" w:hAnsi="宋体" w:eastAsia="宋体" w:cs="宋体"/>
                <w:lang w:val="en-US" w:eastAsia="zh-CN"/>
              </w:rPr>
              <w:t xml:space="preserve">方案</w:t>
            </w:r>
            <w:r>
              <w:rPr>
                <w:rFonts w:hint="eastAsia" w:ascii="宋体" w:hAnsi="宋体" w:eastAsia="宋体" w:cs="宋体"/>
              </w:rPr>
              <w:t xml:space="preserve">，工作内容符合实际、结构严谨、内容完整详实、能够针对采购项目内容要求而细化制定、项目实施运行机制健全且优于采购需求的得</w:t>
            </w:r>
            <w:r>
              <w:rPr>
                <w:rFonts w:hint="eastAsia" w:ascii="宋体" w:hAnsi="宋体" w:eastAsia="宋体" w:cs="宋体"/>
                <w:lang w:val="en-US" w:eastAsia="zh-CN"/>
              </w:rPr>
              <w:t xml:space="preserve">6</w:t>
            </w:r>
            <w:r>
              <w:rPr>
                <w:rFonts w:hint="eastAsia" w:ascii="宋体" w:hAnsi="宋体" w:eastAsia="宋体" w:cs="宋体"/>
              </w:rPr>
              <w:t xml:space="preserve">分；方案完整、制定的措施较齐全、方案表述有偏差、但不影响实质性意思表达、能够满足采购需求的得</w:t>
            </w:r>
            <w:r>
              <w:rPr>
                <w:rFonts w:hint="eastAsia" w:ascii="宋体" w:hAnsi="宋体" w:eastAsia="宋体" w:cs="宋体"/>
                <w:lang w:val="en-US" w:eastAsia="zh-CN"/>
              </w:rPr>
              <w:t xml:space="preserve">3</w:t>
            </w:r>
            <w:r>
              <w:rPr>
                <w:rFonts w:hint="eastAsia" w:ascii="宋体" w:hAnsi="宋体" w:eastAsia="宋体" w:cs="宋体"/>
              </w:rPr>
              <w:t xml:space="preserve">分；有质量保障措施方案、但方案内容笼统、针对本项目制定未细致、但承诺经过优化可实现采购需求的得</w:t>
            </w:r>
            <w:r>
              <w:rPr>
                <w:rFonts w:hint="eastAsia" w:ascii="宋体" w:hAnsi="宋体" w:eastAsia="宋体" w:cs="宋体"/>
                <w:lang w:val="en-US" w:eastAsia="zh-CN"/>
              </w:rPr>
              <w:t xml:space="preserve">1</w:t>
            </w:r>
            <w:r>
              <w:rPr>
                <w:rFonts w:hint="eastAsia" w:ascii="宋体" w:hAnsi="宋体" w:eastAsia="宋体" w:cs="宋体"/>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856" w:type="pct"/>
            <w:vAlign w:val="center"/>
            <w:vMerge w:val="continue"/>
            <w:textDirection w:val="lrTb"/>
            <w:noWrap w:val="false"/>
          </w:tcPr>
          <w:p>
            <w:pPr>
              <w:jc w:val="left"/>
              <w:rPr>
                <w:rFonts w:hint="eastAsia" w:ascii="宋体" w:hAnsi="宋体" w:eastAsia="宋体" w:cs="宋体"/>
              </w:rPr>
            </w:pPr>
            <w:r>
              <w:rPr>
                <w:rFonts w:hint="eastAsia" w:ascii="宋体" w:hAnsi="宋体" w:eastAsia="宋体" w:cs="宋体"/>
              </w:rPr>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应急响应方案</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供应商根据招标文件“第四章、采购需求-七、其他要求（三）应急响应要求”提供</w:t>
            </w:r>
            <w:r>
              <w:rPr>
                <w:rFonts w:hint="eastAsia" w:ascii="宋体" w:hAnsi="宋体" w:eastAsia="宋体" w:cs="宋体"/>
                <w:color w:val="auto"/>
                <w:highlight w:val="none"/>
              </w:rPr>
              <w:t xml:space="preserve">应急响应方案</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投标人应充分考虑履约过程可能遇到的各种突发情况，有针对性的制订预防措施，需在投标文件中进行注意阐述，并建立一个明确的沟通框架，包括定期回访、问题解决机制及变更管理流程。评委会根据采购需求对投标人所投方案内容进行打分，应急响应方案健全且优于采购需求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分；方案完整、制定的措施较齐全、方案表述有偏差、但不影响实质性意思表达、能够满足采购需求的得3分；有应急响应方案、但方案内容笼统、针对本项目制定未细致、但承诺经过优化可实现采购需求的得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856"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其他</w:t>
            </w:r>
            <w:r/>
          </w:p>
        </w:tc>
        <w:tc>
          <w:tcPr>
            <w:tcBorders>
              <w:top w:val="single" w:color="auto" w:sz="6" w:space="0"/>
              <w:left w:val="single" w:color="auto" w:sz="6" w:space="0"/>
              <w:bottom w:val="single" w:color="auto" w:sz="6" w:space="0"/>
              <w:right w:val="single" w:color="auto" w:sz="6" w:space="0"/>
            </w:tcBorders>
            <w:tcW w:w="1143"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售后服务</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left"/>
              <w:rPr>
                <w:rFonts w:hint="eastAsia" w:ascii="宋体" w:hAnsi="宋体" w:eastAsia="宋体" w:cs="宋体"/>
              </w:rPr>
            </w:pPr>
            <w:r>
              <w:rPr>
                <w:rFonts w:hint="eastAsia" w:ascii="宋体" w:hAnsi="宋体" w:eastAsia="宋体" w:cs="宋体"/>
              </w:rPr>
              <w:t xml:space="preserve">8.00分</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供应商根据招标文件“第四章、采购需求-六、售后服务内容及地点（一）售后服务内容”从日常服务、服务时效、培训人员现场培训（操作、维护等）、救灾救援技术支持、售后服务质量保障方案等内容制定</w:t>
            </w:r>
            <w:r>
              <w:rPr>
                <w:rFonts w:hint="eastAsia" w:ascii="宋体" w:hAnsi="宋体" w:eastAsia="宋体" w:cs="宋体"/>
                <w:color w:val="auto"/>
                <w:highlight w:val="none"/>
              </w:rPr>
              <w:t xml:space="preserve">具有完善的售后服务管理体系，提供包含服务范围、响应时间以及质保期满后主要产品、配件优惠方案、完整的售后服务方案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处理建议方案</w:t>
            </w:r>
            <w:r>
              <w:rPr>
                <w:rFonts w:hint="eastAsia" w:ascii="宋体" w:hAnsi="宋体" w:eastAsia="宋体" w:cs="宋体"/>
                <w:color w:val="auto"/>
                <w:highlight w:val="none"/>
              </w:rPr>
              <w:t xml:space="preserve">等。方案详细、响应及时、服务体系完整的得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分；方案详细、服务范围广泛、响应虽有滞后性，服务体系完整，但能基本确保稳定运行的得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分；方案粗略、服务范围狭窄、响应滞后、服务体系虽完整，但缺乏有效保障稳定运行的措施的得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分，没有内容或其情况不满足招标文件需求的不得分。</w:t>
            </w:r>
            <w:r/>
          </w:p>
        </w:tc>
      </w:tr>
    </w:tbl>
    <w:p>
      <w:pPr>
        <w:pStyle w:val="852"/>
        <w:rPr>
          <w:rFonts w:hint="eastAsia" w:ascii="宋体" w:hAnsi="宋体" w:eastAsia="宋体" w:cs="宋体"/>
        </w:rPr>
      </w:pPr>
      <w:r>
        <w:rPr>
          <w:rFonts w:hint="eastAsia" w:ascii="宋体" w:hAnsi="宋体" w:eastAsia="宋体" w:cs="宋体"/>
        </w:rPr>
      </w:r>
      <w:r/>
    </w:p>
    <w:p>
      <w:pPr>
        <w:numPr>
          <w:ilvl w:val="0"/>
          <w:numId w:val="0"/>
        </w:num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sz w:val="24"/>
          <w:highlight w:val="none"/>
        </w:rPr>
        <w:t xml:space="preserve">80%以上</w:t>
      </w:r>
      <w:r>
        <w:rPr>
          <w:rFonts w:hint="eastAsia" w:ascii="宋体" w:hAnsi="宋体" w:eastAsia="宋体" w:cs="宋体"/>
          <w:color w:val="auto"/>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47"/>
          <w:rFonts w:hint="eastAsia" w:ascii="宋体" w:hAnsi="宋体" w:eastAsia="宋体" w:cs="宋体"/>
          <w:bCs/>
          <w:color w:val="auto"/>
          <w:sz w:val="24"/>
          <w:szCs w:val="21"/>
          <w:highlight w:val="none"/>
          <w:lang w:val="en-US" w:eastAsia="zh-CN" w:bidi="ar-SA"/>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8"/>
        <w:jc w:val="center"/>
        <w:shd w:val="clear" w:color="auto"/>
        <w:rPr>
          <w:rFonts w:hint="eastAsia" w:ascii="宋体" w:hAnsi="宋体" w:eastAsia="宋体" w:cs="宋体"/>
          <w:b/>
          <w:bCs w:val="0"/>
          <w:color w:val="auto"/>
          <w:sz w:val="44"/>
          <w:highlight w:val="none"/>
        </w:rPr>
      </w:pPr>
      <w:r/>
      <w:bookmarkStart w:id="1137" w:name="_Toc20454"/>
      <w:r>
        <w:rPr>
          <w:rFonts w:hint="eastAsia" w:ascii="宋体" w:hAnsi="宋体" w:eastAsia="宋体" w:cs="宋体"/>
          <w:b/>
          <w:bCs w:val="0"/>
          <w:color w:val="auto"/>
          <w:sz w:val="44"/>
          <w:highlight w:val="none"/>
        </w:rPr>
        <w:t xml:space="preserve">第六章  投标文件格式</w:t>
      </w:r>
      <w:bookmarkEnd w:id="1137"/>
      <w:r/>
      <w:r/>
    </w:p>
    <w:p>
      <w:pPr>
        <w:jc w:val="center"/>
        <w:shd w:val="clear" w:color="auto"/>
        <w:rPr>
          <w:rFonts w:hint="eastAsia" w:ascii="宋体" w:hAnsi="宋体" w:eastAsia="宋体" w:cs="宋体"/>
          <w:b/>
          <w:color w:val="auto"/>
          <w:sz w:val="72"/>
          <w:highlight w:val="none"/>
        </w:rPr>
      </w:pPr>
      <w:r/>
      <w:bookmarkStart w:id="1138" w:name="_Hlt26671244"/>
      <w:r/>
      <w:bookmarkEnd w:id="1138"/>
      <w:r/>
      <w:bookmarkStart w:id="1139" w:name="_Hlt26955039"/>
      <w:r/>
      <w:bookmarkEnd w:id="1139"/>
      <w:r/>
      <w:bookmarkStart w:id="1140" w:name="_Toc120614282"/>
      <w:r/>
      <w:bookmarkStart w:id="1141" w:name="_Toc49090576"/>
      <w:r/>
      <w:bookmarkStart w:id="1142"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十一、关于符合本国产品标准的声明函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1029"/>
        <w:shd w:val="clear" w:color="auto"/>
        <w:rPr>
          <w:rFonts w:hint="eastAsia" w:ascii="宋体" w:hAnsi="宋体" w:eastAsia="宋体" w:cs="宋体"/>
          <w:b/>
          <w:color w:val="auto"/>
          <w:sz w:val="32"/>
          <w:szCs w:val="32"/>
          <w:highlight w:val="none"/>
        </w:rPr>
        <w:outlineLvl w:val="1"/>
      </w:pPr>
      <w:r/>
      <w:bookmarkStart w:id="1143" w:name="_Toc23838"/>
      <w:r>
        <w:rPr>
          <w:rFonts w:hint="eastAsia" w:ascii="宋体" w:hAnsi="宋体" w:eastAsia="宋体" w:cs="宋体"/>
          <w:color w:val="auto"/>
          <w:highlight w:val="none"/>
        </w:rPr>
        <w:br w:type="page" w:clear="all"/>
      </w:r>
      <w:bookmarkEnd w:id="1143"/>
      <w:r>
        <w:rPr>
          <w:rFonts w:hint="eastAsia" w:ascii="宋体" w:hAnsi="宋体" w:eastAsia="宋体" w:cs="宋体"/>
          <w:b/>
          <w:color w:val="auto"/>
          <w:sz w:val="32"/>
          <w:szCs w:val="32"/>
          <w:highlight w:val="none"/>
        </w:rPr>
        <w:t xml:space="preserve">一、</w:t>
      </w:r>
      <w:bookmarkEnd w:id="1140"/>
      <w:r/>
      <w:bookmarkEnd w:id="1141"/>
      <w:r/>
      <w:bookmarkEnd w:id="1142"/>
      <w:r>
        <w:rPr>
          <w:rFonts w:hint="eastAsia" w:ascii="宋体" w:hAnsi="宋体" w:eastAsia="宋体" w:cs="宋体"/>
          <w:b/>
          <w:color w:val="auto"/>
          <w:sz w:val="32"/>
          <w:szCs w:val="32"/>
          <w:highlight w:val="none"/>
        </w:rPr>
        <w:t xml:space="preserve">投标声明及承诺函</w:t>
      </w:r>
      <w:r/>
    </w:p>
    <w:p>
      <w:pPr>
        <w:pStyle w:val="1030"/>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1030"/>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0"/>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1030"/>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1029"/>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1031"/>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8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31"/>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31"/>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31"/>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31"/>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31"/>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0"/>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1032"/>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1.</w:t>
      </w:r>
      <w:r>
        <w:rPr>
          <w:rFonts w:hint="eastAsia" w:ascii="宋体" w:hAnsi="宋体" w:eastAsia="宋体" w:cs="宋体"/>
          <w:b/>
          <w:bCs/>
          <w:color w:val="000000"/>
          <w:sz w:val="28"/>
          <w:szCs w:val="28"/>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人名称）的法定代表人。</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法人</w:t>
      </w:r>
      <w:r>
        <w:rPr>
          <w:rFonts w:hint="eastAsia" w:ascii="宋体" w:hAnsi="宋体" w:eastAsia="宋体" w:cs="宋体"/>
          <w:color w:val="000000"/>
          <w:sz w:val="24"/>
          <w:szCs w:val="24"/>
          <w:highlight w:val="none"/>
        </w:rPr>
        <w:t xml:space="preserve">联系电话：（手机）</w:t>
      </w:r>
      <w:r>
        <w:rPr>
          <w:rFonts w:hint="eastAsia"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（法定代表人出席</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的提供，未出席的可不提供。</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000000"/>
          <w:sz w:val="24"/>
          <w:szCs w:val="24"/>
          <w:highlight w:val="none"/>
        </w:rPr>
        <w:t xml:space="preserve">：（加盖CA电子公章）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法定</w:t>
      </w:r>
      <w:r>
        <w:rPr>
          <w:rFonts w:hint="eastAsia" w:ascii="宋体" w:hAnsi="宋体" w:eastAsia="宋体" w:cs="宋体"/>
          <w:b/>
          <w:bCs/>
          <w:color w:val="000000"/>
          <w:sz w:val="28"/>
          <w:szCs w:val="28"/>
          <w:highlight w:val="none"/>
          <w:lang w:val="en-US" w:eastAsia="zh-CN"/>
        </w:rPr>
        <w:t xml:space="preserve">授权书</w:t>
      </w:r>
      <w:r/>
    </w:p>
    <w:p>
      <w:pPr>
        <w:pStyle w:val="1032"/>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2"/>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JSZC-321300-SQHS-G2026-0003</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2026年度市级通用应急物资采购项目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1032"/>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32"/>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32"/>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32"/>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32"/>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32"/>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32"/>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32"/>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144" w:name="_格式3__银行出具的资信证明"/>
      <w:r/>
      <w:bookmarkEnd w:id="1144"/>
      <w:r/>
      <w:bookmarkStart w:id="1145" w:name="_Hlt26671380"/>
      <w:r/>
      <w:bookmarkEnd w:id="1145"/>
      <w:r/>
      <w:bookmarkStart w:id="1146" w:name="_Hlt26955070"/>
      <w:r/>
      <w:bookmarkEnd w:id="1146"/>
      <w:r>
        <w:rPr>
          <w:rFonts w:hint="eastAsia" w:ascii="宋体" w:hAnsi="宋体" w:eastAsia="宋体" w:cs="宋体"/>
          <w:color w:val="auto"/>
          <w:sz w:val="24"/>
          <w:szCs w:val="24"/>
          <w:highlight w:val="none"/>
          <w:u w:val="single"/>
        </w:rPr>
        <w:t xml:space="preserve">                                            </w:t>
      </w:r>
      <w:r/>
    </w:p>
    <w:p>
      <w:pPr>
        <w:pStyle w:val="849"/>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849"/>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附法定代表人居民身份证</w:t>
      </w:r>
      <w:r>
        <w:rPr>
          <w:rFonts w:hint="eastAsia" w:ascii="宋体" w:hAnsi="宋体" w:eastAsia="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eastAsia="宋体" w:cs="宋体"/>
          <w:b/>
          <w:bCs w:val="0"/>
          <w:color w:val="000000"/>
          <w:sz w:val="24"/>
          <w:highlight w:val="none"/>
        </w:rPr>
        <w:t xml:space="preserve">居民身份证</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2026年度市级通用应急物资采购项目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JSZC-321300-SQHS-G2026-0003</w:t>
      </w:r>
      <w:r/>
    </w:p>
    <w:tbl>
      <w:tblPr>
        <w:tblStyle w:val="848"/>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1023"/>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1023"/>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1023"/>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1023"/>
              <w:ind w:firstLine="0"/>
              <w:keepLines w:val="0"/>
              <w:keepNext w:val="0"/>
              <w:pageBreakBefore w:val="0"/>
              <w:spacing w:before="0" w:after="0"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10"/>
          <w:footerReference w:type="default" r:id="rId16"/>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8"/>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4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245" w:type="dxa"/>
            <w:vAlign w:val="center"/>
            <w:textDirection w:val="lrTb"/>
            <w:noWrap w:val="false"/>
          </w:tcPr>
          <w:p>
            <w:pPr>
              <w:jc w:val="both"/>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总报价（人民币：    ）</w:t>
            </w:r>
            <w:r/>
          </w:p>
        </w:tc>
        <w:tc>
          <w:tcPr>
            <w:tcW w:w="139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1030"/>
        </w:trPr>
        <w:tc>
          <w:tcPr>
            <w:gridSpan w:val="8"/>
            <w:tcW w:w="991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注：本采购包中提供的符合本国产品标准的产品成本之和占该采购包提供的全部产品成本之和的比例为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pStyle w:val="1022"/>
        <w:rPr>
          <w:rFonts w:hint="eastAsia" w:ascii="宋体" w:hAnsi="宋体" w:eastAsia="宋体" w:cs="宋体"/>
          <w:b/>
          <w:caps w:val="0"/>
          <w:color w:val="auto"/>
          <w:sz w:val="32"/>
          <w:szCs w:val="32"/>
          <w:lang w:val="en-US" w:eastAsia="zh-CN" w:bidi="ar-SA"/>
        </w:rPr>
      </w:pPr>
      <w:r>
        <w:rPr>
          <w:rFonts w:hint="eastAsia" w:ascii="宋体" w:hAnsi="宋体" w:eastAsia="宋体" w:cs="宋体"/>
          <w:b/>
          <w:caps w:val="0"/>
          <w:color w:val="auto"/>
          <w:sz w:val="32"/>
          <w:szCs w:val="32"/>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七、中小（微）企业声明函</w:t>
      </w:r>
      <w:r/>
    </w:p>
    <w:p>
      <w:pPr>
        <w:pStyle w:val="1033"/>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33"/>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33"/>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1033"/>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1033"/>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1033"/>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1033"/>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33"/>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848"/>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68"/>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84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68"/>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68"/>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68"/>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68"/>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68"/>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34"/>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68"/>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68"/>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147" w:name="_Toc11176"/>
      <w:r>
        <w:rPr>
          <w:rFonts w:hint="eastAsia" w:ascii="宋体" w:hAnsi="宋体" w:eastAsia="宋体" w:cs="宋体"/>
          <w:b/>
          <w:color w:val="auto"/>
          <w:sz w:val="32"/>
          <w:highlight w:val="none"/>
        </w:rPr>
        <w:t xml:space="preserve">十、</w:t>
      </w:r>
      <w:bookmarkEnd w:id="1147"/>
      <w:r>
        <w:rPr>
          <w:rFonts w:hint="eastAsia" w:ascii="宋体" w:hAnsi="宋体" w:eastAsia="宋体" w:cs="宋体"/>
          <w:b/>
          <w:color w:val="auto"/>
          <w:sz w:val="32"/>
          <w:highlight w:val="none"/>
        </w:rPr>
        <w:t xml:space="preserve">企业业绩</w:t>
      </w:r>
      <w:r/>
    </w:p>
    <w:p>
      <w:pPr>
        <w:pStyle w:val="1036"/>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48"/>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3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37"/>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36"/>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1148" w:name="_Toc28140"/>
      <w:r/>
      <w:r/>
    </w:p>
    <w:p>
      <w:pPr>
        <w:pStyle w:val="1038"/>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pStyle w:val="1038"/>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5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8" o:spid="_x0000_s98" o:spt="32" type="#_x0000_t32" style="position:absolute;z-index:251661312;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5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9" o:spid="_x0000_s99" o:spt="32" type="#_x0000_t32" style="position:absolute;z-index:251660288;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58"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0" o:spid="_x0000_s100" o:spt="32" type="#_x0000_t32" style="position:absolute;z-index:251659264;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59"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1" o:spid="_x0000_s101" o:spt="32" type="#_x0000_t32" style="position:absolute;z-index:251666432;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60"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2" o:spid="_x0000_s102" o:spt="32" type="#_x0000_t32" style="position:absolute;z-index:251665408;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61"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3" o:spid="_x0000_s103" o:spt="32" type="#_x0000_t32" style="position:absolute;z-index:251663360;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62"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4" o:spid="_x0000_s104" o:spt="32" type="#_x0000_t32" style="position:absolute;z-index:251667456;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63"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5" o:spid="_x0000_s105" o:spt="32" type="#_x0000_t32" style="position:absolute;z-index:251664384;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64"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6" o:spid="_x0000_s106" o:spt="32" type="#_x0000_t32" style="position:absolute;z-index:251668480;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65"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7" o:spid="_x0000_s107" o:spt="32" type="#_x0000_t32" style="position:absolute;z-index:251662336;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bookmarkEnd w:id="1148"/>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49"/>
        <w:ind w:firstLine="0"/>
        <w:shd w:val="clear" w:color="auto"/>
        <w:rPr>
          <w:rFonts w:hint="eastAsia" w:ascii="宋体" w:hAnsi="宋体" w:eastAsia="宋体" w:cs="宋体"/>
          <w:color w:val="auto"/>
          <w:sz w:val="24"/>
          <w:highlight w:val="none"/>
        </w:rPr>
      </w:pPr>
      <w:r/>
      <w:bookmarkStart w:id="1149" w:name="_Toc462564146"/>
      <w:r/>
      <w:bookmarkEnd w:id="1149"/>
      <w:r/>
      <w:bookmarkStart w:id="1150" w:name="_Hlt26609389"/>
      <w:r/>
      <w:bookmarkEnd w:id="1150"/>
      <w:r/>
      <w:bookmarkStart w:id="1151" w:name="_Hlt26955066"/>
      <w:r/>
      <w:bookmarkEnd w:id="1151"/>
      <w:r/>
      <w:bookmarkStart w:id="1152" w:name="_Hlt26671374"/>
      <w:r/>
      <w:bookmarkEnd w:id="1152"/>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4"/>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24"/>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38"/>
        <w:numPr>
          <w:ilvl w:val="0"/>
          <w:numId w:val="0"/>
        </w:numPr>
        <w:shd w:val="clear" w:color="auto"/>
        <w:rPr>
          <w:rFonts w:hint="eastAsia" w:ascii="宋体" w:hAnsi="宋体" w:eastAsia="宋体" w:cs="宋体"/>
          <w:color w:val="auto"/>
          <w:highlight w:val="none"/>
          <w:lang w:val="en-US" w:eastAsia="zh-CN"/>
        </w:rPr>
        <w:outlineLvl w:val="1"/>
      </w:pPr>
      <w:r/>
      <w:bookmarkStart w:id="1153" w:name="_格式2__法定代表人授权书"/>
      <w:r/>
      <w:bookmarkEnd w:id="1153"/>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1039"/>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7"/>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SimSun">
    <w:panose1 w:val="02010600030101010101"/>
  </w:font>
  <w:font w:name="宋体">
    <w:panose1 w:val="02010600030101010101"/>
  </w:font>
  <w:font w:name="方正小标宋_GBK">
    <w:panose1 w:val="020B0503020202020204"/>
  </w:font>
  <w:font w:name="国标黑体">
    <w:panose1 w:val="020B0503020202020204"/>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 xml:space="preserve">1</w:t>
    </w:r>
    <w:r>
      <w:rPr>
        <w:rFonts w:ascii="Times New Roman" w:hAnsi="Times New Roman" w:cs="Times New Roman"/>
      </w:rPr>
      <w:fldChar w:fldCharType="end"/>
    </w:r>
    <w:r/>
  </w:p>
  <w:p>
    <w:pPr>
      <w:pStyle w:val="858"/>
      <w:tabs>
        <w:tab w:val="center" w:pos="4153" w:leader="none"/>
        <w:tab w:val="clear" w:pos="7143" w:leader="none"/>
        <w:tab w:val="right" w:pos="8306" w:leader="none"/>
        <w:tab w:val="clear" w:pos="14287" w:leader="none"/>
      </w:tabs>
      <w:rPr>
        <w:rFonts w:ascii="Times New Roman" w:hAnsi="Times New Roman" w:cs="Times New Roman"/>
      </w:rPr>
    </w:pPr>
    <w:r>
      <w:rPr>
        <w:rFonts w:ascii="Times New Roman" w:hAnsi="Times New Roman"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rPr>
        <w:rFonts w:ascii="Times New Roman" w:hAnsi="Times New Roman" w:cs="Times New Roman"/>
      </w:rPr>
    </w:pPr>
    <w:r>
      <w:rPr>
        <w:rFonts w:ascii="Times New Roman" w:hAnsi="Times New Roman"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none"/>
      <w:isLgl w:val="false"/>
      <w:suff w:val="nothing"/>
      <w:lvlText w:val="表2　"/>
      <w:lvlJc w:val="left"/>
      <w:pPr>
        <w:ind w:left="27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1"/>
      <w:numFmt w:val="upperLetter"/>
      <w:isLgl w:val="false"/>
      <w:suff w:val="nothing"/>
      <w:lvlText w:val="附　录　%1"/>
      <w:lvlJc w:val="left"/>
      <w:pPr>
        <w:ind w:left="4310" w:firstLine="0"/>
      </w:pPr>
    </w:lvl>
    <w:lvl w:ilvl="1">
      <w:start w:val="1"/>
      <w:numFmt w:val="decimal"/>
      <w:isLgl w:val="false"/>
      <w:suff w:val="nothing"/>
      <w:lvlText w:val="%1.%2　"/>
      <w:lvlJc w:val="left"/>
      <w:pPr>
        <w:ind w:left="568" w:firstLine="0"/>
      </w:pPr>
      <w:rPr>
        <w:rFonts w:hint="eastAsia" w:ascii="黑体" w:hAnsi="Times New Roman" w:eastAsia="黑体"/>
        <w:b w:val="0"/>
        <w:i w:val="0"/>
        <w:spacing w:val="0"/>
        <w:sz w:val="21"/>
      </w:rPr>
    </w:lvl>
    <w:lvl w:ilvl="2">
      <w:start w:val="1"/>
      <w:numFmt w:val="decimal"/>
      <w:isLgl w:val="false"/>
      <w:suff w:val="nothing"/>
      <w:lvlText w:val="%1.%2.%3　"/>
      <w:lvlJc w:val="left"/>
      <w:pPr>
        <w:ind w:left="5355" w:firstLine="0"/>
      </w:pPr>
      <w:rPr>
        <w:rFonts w:hint="eastAsia" w:ascii="黑体" w:hAnsi="Times New Roman" w:eastAsia="黑体"/>
        <w:b w:val="0"/>
        <w:i w:val="0"/>
        <w:sz w:val="21"/>
      </w:rPr>
    </w:lvl>
    <w:lvl w:ilvl="3">
      <w:start w:val="1"/>
      <w:numFmt w:val="decimal"/>
      <w:isLgl w:val="false"/>
      <w:suff w:val="nothing"/>
      <w:lvlText w:val="%1.%2.%3.%4　"/>
      <w:lvlJc w:val="left"/>
      <w:pPr>
        <w:ind w:left="4620" w:firstLine="0"/>
      </w:pPr>
      <w:rPr>
        <w:rFonts w:hint="eastAsia" w:ascii="黑体" w:hAnsi="Times New Roman" w:eastAsia="黑体"/>
        <w:b w:val="0"/>
        <w:i w:val="0"/>
        <w:sz w:val="21"/>
      </w:rPr>
    </w:lvl>
    <w:lvl w:ilvl="4">
      <w:start w:val="1"/>
      <w:numFmt w:val="decimal"/>
      <w:isLgl w:val="false"/>
      <w:suff w:val="nothing"/>
      <w:lvlText w:val="%1.%2.%3.%4.%5　"/>
      <w:lvlJc w:val="left"/>
      <w:pPr>
        <w:ind w:left="4620" w:firstLine="0"/>
      </w:pPr>
      <w:rPr>
        <w:rFonts w:hint="eastAsia" w:ascii="黑体" w:hAnsi="Times New Roman" w:eastAsia="黑体"/>
        <w:b w:val="0"/>
        <w:i w:val="0"/>
        <w:sz w:val="21"/>
      </w:rPr>
    </w:lvl>
    <w:lvl w:ilvl="5">
      <w:start w:val="1"/>
      <w:numFmt w:val="decimal"/>
      <w:isLgl w:val="false"/>
      <w:suff w:val="nothing"/>
      <w:lvlText w:val="%1.%2.%3.%4.%5.%6　"/>
      <w:lvlJc w:val="left"/>
      <w:pPr>
        <w:ind w:left="4620" w:firstLine="0"/>
      </w:pPr>
      <w:rPr>
        <w:rFonts w:hint="eastAsia" w:ascii="黑体" w:hAnsi="Times New Roman" w:eastAsia="黑体"/>
        <w:b w:val="0"/>
        <w:i w:val="0"/>
        <w:sz w:val="21"/>
      </w:rPr>
    </w:lvl>
    <w:lvl w:ilvl="6">
      <w:start w:val="1"/>
      <w:numFmt w:val="decimal"/>
      <w:isLgl w:val="false"/>
      <w:suff w:val="nothing"/>
      <w:lvlText w:val="%1.%2.%3.%4.%5.%6.%7　"/>
      <w:lvlJc w:val="left"/>
      <w:pPr>
        <w:ind w:left="4620" w:firstLine="0"/>
      </w:pPr>
      <w:rPr>
        <w:rFonts w:hint="eastAsia" w:ascii="黑体" w:hAnsi="Times New Roman" w:eastAsia="黑体"/>
        <w:b w:val="0"/>
        <w:i w:val="0"/>
        <w:sz w:val="21"/>
      </w:rPr>
    </w:lvl>
    <w:lvl w:ilvl="7">
      <w:start w:val="1"/>
      <w:numFmt w:val="decimal"/>
      <w:isLgl w:val="false"/>
      <w:suff w:val="tab"/>
      <w:lvlText w:val="%1.%2.%3.%4.%5.%6.%7.%8"/>
      <w:lvlJc w:val="left"/>
      <w:pPr>
        <w:ind w:left="9014" w:hanging="1418"/>
        <w:tabs>
          <w:tab w:val="left" w:pos="9014" w:leader="none"/>
        </w:tabs>
      </w:pPr>
      <w:rPr>
        <w:rFonts w:hint="eastAsia"/>
      </w:rPr>
    </w:lvl>
    <w:lvl w:ilvl="8">
      <w:start w:val="1"/>
      <w:numFmt w:val="decimal"/>
      <w:isLgl w:val="false"/>
      <w:suff w:val="tab"/>
      <w:lvlText w:val="%1.%2.%3.%4.%5.%6.%7.%8.%9"/>
      <w:lvlJc w:val="left"/>
      <w:pPr>
        <w:ind w:left="9722" w:hanging="1700"/>
        <w:tabs>
          <w:tab w:val="left" w:pos="9722" w:leader="none"/>
        </w:tabs>
      </w:pPr>
      <w:rPr>
        <w:rFonts w:hint="eastAsia"/>
      </w:rPr>
    </w:lvl>
  </w:abstractNum>
  <w:abstractNum w:abstractNumId="5">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993"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3402" w:firstLine="0"/>
      </w:pPr>
      <w:rPr>
        <w:rFonts w:hint="eastAsia" w:ascii="黑体" w:hAnsi="Times New Roman" w:eastAsia="黑体"/>
        <w:b w:val="0"/>
        <w:i w:val="0"/>
        <w:sz w:val="21"/>
      </w:rPr>
    </w:lvl>
    <w:lvl w:ilvl="4">
      <w:start w:val="1"/>
      <w:numFmt w:val="decimal"/>
      <w:isLgl w:val="false"/>
      <w:suff w:val="nothing"/>
      <w:lvlText w:val="%1%2.%3.%4.%5　"/>
      <w:lvlJc w:val="left"/>
      <w:pPr>
        <w:ind w:left="2268"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6"/>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47"/>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3"/>
  </w:num>
  <w:num w:numId="3">
    <w:abstractNumId w:val="6"/>
    <w:lvlOverride w:ilvl="0">
      <w:startOverride w:val="1"/>
    </w:lvlOverride>
  </w:num>
  <w:num w:numId="4">
    <w:abstractNumId w:val="12"/>
    <w:lvlOverride w:ilvl="0">
      <w:startOverride w:val="1"/>
    </w:lvlOverride>
  </w:num>
  <w:num w:numId="5">
    <w:abstractNumId w:val="0"/>
    <w:lvlOverride w:ilvl="0">
      <w:startOverride w:val="1"/>
    </w:lvlOverride>
  </w:num>
  <w:num w:numId="6">
    <w:abstractNumId w:val="9"/>
    <w:lvlOverride w:ilvl="0">
      <w:startOverride w:val="2"/>
    </w:lvlOverride>
  </w:num>
  <w:num w:numId="7">
    <w:abstractNumId w:val="7"/>
    <w:lvlOverride w:ilvl="0">
      <w:startOverride w:val="6"/>
    </w:lvlOverride>
  </w:num>
  <w:num w:numId="8">
    <w:abstractNumId w:val="10"/>
    <w:lvlOverride w:ilvl="0">
      <w:startOverride w:val="16"/>
    </w:lvlOverride>
  </w:num>
  <w:num w:numId="9">
    <w:abstractNumId w:val="1"/>
    <w:lvlOverride w:ilvl="0">
      <w:startOverride w:val="23"/>
    </w:lvlOverride>
  </w:num>
  <w:num w:numId="10">
    <w:abstractNumId w:val="5"/>
  </w:num>
  <w:num w:numId="11">
    <w:abstractNumId w:val="2"/>
  </w:num>
  <w:num w:numId="12">
    <w:abstractNumId w:val="3"/>
  </w:num>
  <w:num w:numId="13">
    <w:abstractNumId w:val="4"/>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7" w:default="1">
    <w:name w:val="Normal"/>
    <w:uiPriority w:val="0"/>
    <w:qFormat/>
    <w:rPr>
      <w:rFonts w:hint="default" w:asciiTheme="minorHAnsi" w:hAnsiTheme="minorHAnsi" w:eastAsiaTheme="minorEastAsia" w:cstheme="minorBidi"/>
      <w:sz w:val="21"/>
      <w:szCs w:val="22"/>
      <w:lang w:val="en-US" w:eastAsia="zh-CN" w:bidi="ar-SA"/>
    </w:rPr>
  </w:style>
  <w:style w:type="paragraph" w:styleId="838">
    <w:name w:val="Heading 1"/>
    <w:basedOn w:val="837"/>
    <w:next w:val="83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5"/>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49"/>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49"/>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78"/>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79"/>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1"/>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2"/>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0"/>
    <w:semiHidden/>
    <w:qFormat/>
  </w:style>
  <w:style w:type="table" w:styleId="848" w:default="1">
    <w:name w:val="Normal Table"/>
    <w:uiPriority w:val="0"/>
    <w:semiHidden/>
    <w:qFormat/>
    <w:tblPr>
      <w:tblCellMar>
        <w:left w:w="108" w:type="dxa"/>
        <w:top w:w="0" w:type="dxa"/>
        <w:right w:w="108" w:type="dxa"/>
        <w:bottom w:w="0" w:type="dxa"/>
      </w:tblCellMar>
    </w:tblPr>
  </w:style>
  <w:style w:type="paragraph" w:styleId="849">
    <w:name w:val="Normal Indent"/>
    <w:basedOn w:val="837"/>
    <w:next w:val="837"/>
    <w:uiPriority w:val="0"/>
    <w:qFormat/>
    <w:pPr>
      <w:ind w:firstLine="420"/>
    </w:pPr>
  </w:style>
  <w:style w:type="paragraph" w:styleId="850">
    <w:name w:val="toc 7"/>
    <w:basedOn w:val="837"/>
    <w:next w:val="837"/>
    <w:uiPriority w:val="39"/>
    <w:unhideWhenUsed/>
    <w:qFormat/>
    <w:pPr>
      <w:ind w:left="1701" w:right="0" w:firstLine="0"/>
      <w:spacing w:after="57"/>
    </w:pPr>
  </w:style>
  <w:style w:type="paragraph" w:styleId="851">
    <w:name w:val="Caption"/>
    <w:basedOn w:val="837"/>
    <w:next w:val="83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2">
    <w:name w:val="Body Text"/>
    <w:basedOn w:val="837"/>
    <w:next w:val="837"/>
    <w:uiPriority w:val="0"/>
    <w:qFormat/>
    <w:pPr>
      <w:jc w:val="both"/>
      <w:widowControl w:val="off"/>
    </w:pPr>
    <w:rPr>
      <w:rFonts w:ascii="楷体_GB2312" w:hAnsi="Arial" w:eastAsia="楷体_GB2312" w:cs="Times New Roman"/>
      <w:sz w:val="28"/>
      <w:szCs w:val="28"/>
      <w:lang w:val="en-US" w:eastAsia="zh-CN" w:bidi="ar-SA"/>
    </w:rPr>
  </w:style>
  <w:style w:type="paragraph" w:styleId="853">
    <w:name w:val="toc 5"/>
    <w:basedOn w:val="837"/>
    <w:next w:val="837"/>
    <w:uiPriority w:val="39"/>
    <w:unhideWhenUsed/>
    <w:qFormat/>
    <w:pPr>
      <w:ind w:left="1134" w:right="0" w:firstLine="0"/>
      <w:spacing w:after="57"/>
    </w:pPr>
  </w:style>
  <w:style w:type="paragraph" w:styleId="854">
    <w:name w:val="toc 3"/>
    <w:basedOn w:val="837"/>
    <w:next w:val="837"/>
    <w:uiPriority w:val="39"/>
    <w:unhideWhenUsed/>
    <w:qFormat/>
    <w:pPr>
      <w:ind w:left="567" w:right="0" w:firstLine="0"/>
      <w:spacing w:after="57"/>
    </w:pPr>
  </w:style>
  <w:style w:type="paragraph" w:styleId="855">
    <w:name w:val="Plain Text"/>
    <w:basedOn w:val="837"/>
    <w:uiPriority w:val="0"/>
    <w:qFormat/>
    <w:rPr>
      <w:rFonts w:ascii="宋体" w:hAnsi="Courier New" w:cs="Courier New"/>
    </w:rPr>
  </w:style>
  <w:style w:type="paragraph" w:styleId="856">
    <w:name w:val="toc 8"/>
    <w:basedOn w:val="837"/>
    <w:next w:val="837"/>
    <w:uiPriority w:val="39"/>
    <w:unhideWhenUsed/>
    <w:qFormat/>
    <w:pPr>
      <w:ind w:left="1984" w:right="0" w:firstLine="0"/>
      <w:spacing w:after="57"/>
    </w:pPr>
  </w:style>
  <w:style w:type="paragraph" w:styleId="857">
    <w:name w:val="endnote text"/>
    <w:basedOn w:val="837"/>
    <w:link w:val="1020"/>
    <w:uiPriority w:val="99"/>
    <w:semiHidden/>
    <w:unhideWhenUsed/>
    <w:qFormat/>
    <w:pPr>
      <w:spacing w:after="0" w:line="240" w:lineRule="auto"/>
    </w:pPr>
    <w:rPr>
      <w:sz w:val="20"/>
    </w:rPr>
  </w:style>
  <w:style w:type="paragraph" w:styleId="858">
    <w:name w:val="Footer"/>
    <w:basedOn w:val="837"/>
    <w:uiPriority w:val="99"/>
    <w:unhideWhenUsed/>
    <w:qFormat/>
    <w:pPr>
      <w:tabs>
        <w:tab w:val="center" w:pos="7143" w:leader="none"/>
        <w:tab w:val="right" w:pos="14287" w:leader="none"/>
      </w:tabs>
    </w:pPr>
  </w:style>
  <w:style w:type="paragraph" w:styleId="859">
    <w:name w:val="Header"/>
    <w:basedOn w:val="837"/>
    <w:uiPriority w:val="99"/>
    <w:unhideWhenUsed/>
    <w:qFormat/>
    <w:pPr>
      <w:tabs>
        <w:tab w:val="center" w:pos="7143" w:leader="none"/>
        <w:tab w:val="right" w:pos="14287" w:leader="none"/>
      </w:tabs>
    </w:pPr>
  </w:style>
  <w:style w:type="paragraph" w:styleId="860">
    <w:name w:val="toc 1"/>
    <w:basedOn w:val="837"/>
    <w:next w:val="837"/>
    <w:uiPriority w:val="39"/>
    <w:unhideWhenUsed/>
    <w:qFormat/>
    <w:pPr>
      <w:spacing w:after="57"/>
    </w:pPr>
  </w:style>
  <w:style w:type="paragraph" w:styleId="861">
    <w:name w:val="toc 4"/>
    <w:basedOn w:val="837"/>
    <w:next w:val="837"/>
    <w:uiPriority w:val="39"/>
    <w:unhideWhenUsed/>
    <w:qFormat/>
    <w:pPr>
      <w:ind w:left="850" w:right="0" w:firstLine="0"/>
      <w:spacing w:after="57"/>
    </w:pPr>
  </w:style>
  <w:style w:type="paragraph" w:styleId="862">
    <w:name w:val="Subtitle"/>
    <w:basedOn w:val="837"/>
    <w:next w:val="837"/>
    <w:link w:val="886"/>
    <w:uiPriority w:val="11"/>
    <w:qFormat/>
    <w:pPr>
      <w:spacing w:before="200" w:after="200"/>
    </w:pPr>
    <w:rPr>
      <w:sz w:val="24"/>
      <w:szCs w:val="24"/>
    </w:rPr>
  </w:style>
  <w:style w:type="paragraph" w:styleId="863">
    <w:name w:val="footnote text"/>
    <w:basedOn w:val="837"/>
    <w:link w:val="1019"/>
    <w:uiPriority w:val="99"/>
    <w:semiHidden/>
    <w:unhideWhenUsed/>
    <w:qFormat/>
    <w:pPr>
      <w:spacing w:after="40" w:line="240" w:lineRule="auto"/>
    </w:pPr>
    <w:rPr>
      <w:sz w:val="18"/>
    </w:rPr>
  </w:style>
  <w:style w:type="paragraph" w:styleId="864">
    <w:name w:val="toc 6"/>
    <w:basedOn w:val="837"/>
    <w:next w:val="837"/>
    <w:uiPriority w:val="39"/>
    <w:unhideWhenUsed/>
    <w:qFormat/>
    <w:pPr>
      <w:ind w:left="1417" w:right="0" w:firstLine="0"/>
      <w:spacing w:after="57"/>
    </w:pPr>
  </w:style>
  <w:style w:type="paragraph" w:styleId="865">
    <w:name w:val="table of figures"/>
    <w:basedOn w:val="837"/>
    <w:next w:val="837"/>
    <w:uiPriority w:val="99"/>
    <w:unhideWhenUsed/>
    <w:qFormat/>
    <w:pPr>
      <w:spacing w:after="0" w:afterAutospacing="0"/>
    </w:pPr>
  </w:style>
  <w:style w:type="paragraph" w:styleId="866">
    <w:name w:val="toc 2"/>
    <w:basedOn w:val="837"/>
    <w:next w:val="837"/>
    <w:uiPriority w:val="39"/>
    <w:unhideWhenUsed/>
    <w:qFormat/>
    <w:pPr>
      <w:ind w:left="283" w:right="0" w:firstLine="0"/>
      <w:spacing w:after="57"/>
    </w:pPr>
  </w:style>
  <w:style w:type="paragraph" w:styleId="867">
    <w:name w:val="toc 9"/>
    <w:basedOn w:val="837"/>
    <w:next w:val="837"/>
    <w:uiPriority w:val="39"/>
    <w:unhideWhenUsed/>
    <w:qFormat/>
    <w:pPr>
      <w:ind w:left="2268" w:right="0" w:firstLine="0"/>
      <w:spacing w:after="57"/>
    </w:pPr>
  </w:style>
  <w:style w:type="paragraph" w:styleId="868">
    <w:name w:val="Normal (Web)"/>
    <w:basedOn w:val="837"/>
    <w:uiPriority w:val="99"/>
    <w:qFormat/>
    <w:pPr>
      <w:spacing w:before="100" w:beforeAutospacing="1" w:after="100" w:afterAutospacing="1"/>
    </w:pPr>
    <w:rPr>
      <w:rFonts w:ascii="宋体" w:hAnsi="宋体" w:cs="宋体"/>
      <w:sz w:val="24"/>
      <w:szCs w:val="24"/>
    </w:rPr>
  </w:style>
  <w:style w:type="paragraph" w:styleId="869">
    <w:name w:val="Title"/>
    <w:basedOn w:val="837"/>
    <w:next w:val="837"/>
    <w:link w:val="885"/>
    <w:uiPriority w:val="10"/>
    <w:qFormat/>
    <w:pPr>
      <w:contextualSpacing/>
      <w:spacing w:before="300" w:after="200"/>
    </w:pPr>
    <w:rPr>
      <w:sz w:val="48"/>
      <w:szCs w:val="48"/>
    </w:rPr>
  </w:style>
  <w:style w:type="table" w:styleId="870">
    <w:name w:val="Table Grid"/>
    <w:basedOn w:val="8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basedOn w:val="847"/>
    <w:uiPriority w:val="99"/>
    <w:semiHidden/>
    <w:unhideWhenUsed/>
    <w:qFormat/>
    <w:rPr>
      <w:vertAlign w:val="superscript"/>
    </w:rPr>
  </w:style>
  <w:style w:type="character" w:styleId="872">
    <w:name w:val="Hyperlink"/>
    <w:uiPriority w:val="99"/>
    <w:unhideWhenUsed/>
    <w:qFormat/>
    <w:rPr>
      <w:color w:val="0026e5" w:themeColor="hyperlink"/>
      <w:u w:val="single"/>
      <w14:textFill>
        <w14:solidFill>
          <w14:schemeClr w14:val="hlink"/>
        </w14:solidFill>
      </w14:textFill>
    </w:rPr>
  </w:style>
  <w:style w:type="character" w:styleId="873">
    <w:name w:val="footnote reference"/>
    <w:basedOn w:val="847"/>
    <w:uiPriority w:val="99"/>
    <w:unhideWhenUsed/>
    <w:qFormat/>
    <w:rPr>
      <w:vertAlign w:val="superscript"/>
    </w:rPr>
  </w:style>
  <w:style w:type="character" w:styleId="874" w:customStyle="1">
    <w:name w:val="Heading 1 Char"/>
    <w:basedOn w:val="847"/>
    <w:uiPriority w:val="9"/>
    <w:qFormat/>
    <w:rPr>
      <w:rFonts w:ascii="Arial" w:hAnsi="Arial" w:eastAsia="Arial" w:cs="Arial"/>
      <w:sz w:val="40"/>
      <w:szCs w:val="40"/>
    </w:rPr>
  </w:style>
  <w:style w:type="character" w:styleId="875" w:customStyle="1">
    <w:name w:val="Heading 2 Char"/>
    <w:basedOn w:val="847"/>
    <w:link w:val="839"/>
    <w:uiPriority w:val="9"/>
    <w:qFormat/>
    <w:rPr>
      <w:rFonts w:ascii="Arial" w:hAnsi="Arial" w:eastAsia="Arial" w:cs="Arial"/>
      <w:sz w:val="34"/>
    </w:rPr>
  </w:style>
  <w:style w:type="character" w:styleId="876" w:customStyle="1">
    <w:name w:val="Heading 3 Char"/>
    <w:basedOn w:val="847"/>
    <w:uiPriority w:val="9"/>
    <w:qFormat/>
    <w:rPr>
      <w:rFonts w:ascii="Arial" w:hAnsi="Arial" w:eastAsia="Arial" w:cs="Arial"/>
      <w:sz w:val="30"/>
      <w:szCs w:val="30"/>
    </w:rPr>
  </w:style>
  <w:style w:type="character" w:styleId="877" w:customStyle="1">
    <w:name w:val="Heading 4 Char"/>
    <w:basedOn w:val="847"/>
    <w:uiPriority w:val="9"/>
    <w:qFormat/>
    <w:rPr>
      <w:rFonts w:ascii="Arial" w:hAnsi="Arial" w:eastAsia="Arial" w:cs="Arial"/>
      <w:b/>
      <w:bCs/>
      <w:sz w:val="26"/>
      <w:szCs w:val="26"/>
    </w:rPr>
  </w:style>
  <w:style w:type="character" w:styleId="878" w:customStyle="1">
    <w:name w:val="Heading 5 Char"/>
    <w:basedOn w:val="847"/>
    <w:link w:val="842"/>
    <w:uiPriority w:val="9"/>
    <w:qFormat/>
    <w:rPr>
      <w:rFonts w:ascii="Arial" w:hAnsi="Arial" w:eastAsia="Arial" w:cs="Arial"/>
      <w:b/>
      <w:bCs/>
      <w:sz w:val="24"/>
      <w:szCs w:val="24"/>
    </w:rPr>
  </w:style>
  <w:style w:type="character" w:styleId="879" w:customStyle="1">
    <w:name w:val="Heading 6 Char"/>
    <w:basedOn w:val="847"/>
    <w:link w:val="843"/>
    <w:uiPriority w:val="9"/>
    <w:qFormat/>
    <w:rPr>
      <w:rFonts w:ascii="Arial" w:hAnsi="Arial" w:eastAsia="Arial" w:cs="Arial"/>
      <w:b/>
      <w:bCs/>
      <w:sz w:val="22"/>
      <w:szCs w:val="22"/>
    </w:rPr>
  </w:style>
  <w:style w:type="character" w:styleId="880" w:customStyle="1">
    <w:name w:val="Heading 7 Char"/>
    <w:basedOn w:val="847"/>
    <w:link w:val="844"/>
    <w:uiPriority w:val="9"/>
    <w:qFormat/>
    <w:rPr>
      <w:rFonts w:ascii="Arial" w:hAnsi="Arial" w:eastAsia="Arial" w:cs="Arial"/>
      <w:b/>
      <w:bCs/>
      <w:i/>
      <w:iCs/>
      <w:sz w:val="22"/>
      <w:szCs w:val="22"/>
    </w:rPr>
  </w:style>
  <w:style w:type="character" w:styleId="881" w:customStyle="1">
    <w:name w:val="Heading 8 Char"/>
    <w:basedOn w:val="847"/>
    <w:link w:val="845"/>
    <w:uiPriority w:val="9"/>
    <w:qFormat/>
    <w:rPr>
      <w:rFonts w:ascii="Arial" w:hAnsi="Arial" w:eastAsia="Arial" w:cs="Arial"/>
      <w:i/>
      <w:iCs/>
      <w:sz w:val="22"/>
      <w:szCs w:val="22"/>
    </w:rPr>
  </w:style>
  <w:style w:type="character" w:styleId="882" w:customStyle="1">
    <w:name w:val="Heading 9 Char"/>
    <w:basedOn w:val="847"/>
    <w:link w:val="846"/>
    <w:uiPriority w:val="9"/>
    <w:qFormat/>
    <w:rPr>
      <w:rFonts w:ascii="Arial" w:hAnsi="Arial" w:eastAsia="Arial" w:cs="Arial"/>
      <w:i/>
      <w:iCs/>
      <w:sz w:val="21"/>
      <w:szCs w:val="21"/>
    </w:rPr>
  </w:style>
  <w:style w:type="paragraph" w:styleId="883">
    <w:name w:val="List Paragraph"/>
    <w:basedOn w:val="837"/>
    <w:uiPriority w:val="34"/>
    <w:qFormat/>
    <w:pPr>
      <w:contextualSpacing/>
      <w:ind w:left="720"/>
    </w:pPr>
  </w:style>
  <w:style w:type="paragraph" w:styleId="884">
    <w:name w:val="No Spacing"/>
    <w:uiPriority w:val="1"/>
    <w:qFormat/>
    <w:pPr>
      <w:spacing w:before="0" w:after="0" w:line="240" w:lineRule="auto"/>
    </w:pPr>
    <w:rPr>
      <w:rFonts w:hint="default" w:asciiTheme="minorHAnsi" w:hAnsiTheme="minorHAnsi" w:eastAsiaTheme="minorEastAsia" w:cstheme="minorBidi"/>
    </w:rPr>
  </w:style>
  <w:style w:type="character" w:styleId="885" w:customStyle="1">
    <w:name w:val="Title Char"/>
    <w:basedOn w:val="847"/>
    <w:link w:val="869"/>
    <w:uiPriority w:val="10"/>
    <w:qFormat/>
    <w:rPr>
      <w:sz w:val="48"/>
      <w:szCs w:val="48"/>
    </w:rPr>
  </w:style>
  <w:style w:type="character" w:styleId="886" w:customStyle="1">
    <w:name w:val="Subtitle Char"/>
    <w:basedOn w:val="847"/>
    <w:link w:val="862"/>
    <w:uiPriority w:val="11"/>
    <w:qFormat/>
    <w:rPr>
      <w:sz w:val="24"/>
      <w:szCs w:val="24"/>
    </w:rPr>
  </w:style>
  <w:style w:type="paragraph" w:styleId="887">
    <w:name w:val="Quote"/>
    <w:basedOn w:val="837"/>
    <w:next w:val="837"/>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37"/>
    <w:next w:val="837"/>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basedOn w:val="847"/>
    <w:uiPriority w:val="99"/>
    <w:qFormat/>
  </w:style>
  <w:style w:type="character" w:styleId="892" w:customStyle="1">
    <w:name w:val="Footer Char"/>
    <w:basedOn w:val="847"/>
    <w:uiPriority w:val="99"/>
    <w:qFormat/>
  </w:style>
  <w:style w:type="character" w:styleId="893" w:customStyle="1">
    <w:name w:val="Caption Char"/>
    <w:uiPriority w:val="99"/>
    <w:qFormat/>
  </w:style>
  <w:style w:type="table" w:styleId="894" w:customStyle="1">
    <w:name w:val="Table Grid Light"/>
    <w:basedOn w:val="8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basedOn w:val="8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basedOn w:val="8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basedOn w:val="8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basedOn w:val="8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basedOn w:val="8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basedOn w:val="8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basedOn w:val="8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basedOn w:val="8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basedOn w:val="8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basedOn w:val="8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basedOn w:val="8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basedOn w:val="8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3" w:customStyle="1">
    <w:name w:val="Grid Table 2 - Accent 6"/>
    <w:basedOn w:val="8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4" w:customStyle="1">
    <w:name w:val="Grid Table 3"/>
    <w:basedOn w:val="8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basedOn w:val="84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basedOn w:val="848"/>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basedOn w:val="848"/>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basedOn w:val="848"/>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basedOn w:val="84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basedOn w:val="848"/>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basedOn w:val="8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basedOn w:val="848"/>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3" w:customStyle="1">
    <w:name w:val="Grid Table 4 - Accent 2"/>
    <w:basedOn w:val="848"/>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4" w:customStyle="1">
    <w:name w:val="Grid Table 4 - Accent 3"/>
    <w:basedOn w:val="848"/>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5" w:customStyle="1">
    <w:name w:val="Grid Table 4 - Accent 4"/>
    <w:basedOn w:val="848"/>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6" w:customStyle="1">
    <w:name w:val="Grid Table 4 - Accent 5"/>
    <w:basedOn w:val="848"/>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7" w:customStyle="1">
    <w:name w:val="Grid Table 4 - Accent 6"/>
    <w:basedOn w:val="848"/>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8" w:customStyle="1">
    <w:name w:val="Grid Table 5 Dark"/>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30" w:customStyle="1">
    <w:name w:val="Grid Table 5 Dark - Accent 2"/>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1" w:customStyle="1">
    <w:name w:val="Grid Table 5 Dark - Accent 3"/>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2" w:customStyle="1">
    <w:name w:val="Grid Table 5 Dark- Accent 4"/>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3" w:customStyle="1">
    <w:name w:val="Grid Table 5 Dark - Accent 5"/>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4" w:customStyle="1">
    <w:name w:val="Grid Table 5 Dark - Accent 6"/>
    <w:basedOn w:val="8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5" w:customStyle="1">
    <w:name w:val="Grid Table 6 Colorful"/>
    <w:basedOn w:val="8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basedOn w:val="848"/>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8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848"/>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9" w:customStyle="1">
    <w:name w:val="Grid Table 6 Colorful - Accent 4"/>
    <w:basedOn w:val="8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848"/>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6 Colorful - Accent 6"/>
    <w:basedOn w:val="848"/>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2" w:customStyle="1">
    <w:name w:val="Grid Table 7 Colorful"/>
    <w:basedOn w:val="8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basedOn w:val="848"/>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basedOn w:val="848"/>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basedOn w:val="84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basedOn w:val="84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basedOn w:val="848"/>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basedOn w:val="848"/>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basedOn w:val="8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basedOn w:val="848"/>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1" w:customStyle="1">
    <w:name w:val="List Table 1 Light - Accent 2"/>
    <w:basedOn w:val="848"/>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2" w:customStyle="1">
    <w:name w:val="List Table 1 Light - Accent 3"/>
    <w:basedOn w:val="84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3" w:customStyle="1">
    <w:name w:val="List Table 1 Light - Accent 4"/>
    <w:basedOn w:val="848"/>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basedOn w:val="848"/>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5" w:customStyle="1">
    <w:name w:val="List Table 1 Light - Accent 6"/>
    <w:basedOn w:val="848"/>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6" w:customStyle="1">
    <w:name w:val="List Table 2"/>
    <w:basedOn w:val="8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basedOn w:val="848"/>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8" w:customStyle="1">
    <w:name w:val="List Table 2 - Accent 2"/>
    <w:basedOn w:val="848"/>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9" w:customStyle="1">
    <w:name w:val="List Table 2 - Accent 3"/>
    <w:basedOn w:val="848"/>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60" w:customStyle="1">
    <w:name w:val="List Table 2 - Accent 4"/>
    <w:basedOn w:val="84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1" w:customStyle="1">
    <w:name w:val="List Table 2 - Accent 5"/>
    <w:basedOn w:val="84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2" w:customStyle="1">
    <w:name w:val="List Table 2 - Accent 6"/>
    <w:basedOn w:val="848"/>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3" w:customStyle="1">
    <w:name w:val="List Table 3"/>
    <w:basedOn w:val="8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basedOn w:val="848"/>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5" w:customStyle="1">
    <w:name w:val="List Table 3 - Accent 2"/>
    <w:basedOn w:val="84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6" w:customStyle="1">
    <w:name w:val="List Table 3 - Accent 3"/>
    <w:basedOn w:val="848"/>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7" w:customStyle="1">
    <w:name w:val="List Table 3 - Accent 4"/>
    <w:basedOn w:val="848"/>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8" w:customStyle="1">
    <w:name w:val="List Table 3 - Accent 5"/>
    <w:basedOn w:val="848"/>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9" w:customStyle="1">
    <w:name w:val="List Table 3 - Accent 6"/>
    <w:basedOn w:val="848"/>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70" w:customStyle="1">
    <w:name w:val="List Table 4"/>
    <w:basedOn w:val="8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basedOn w:val="848"/>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2" w:customStyle="1">
    <w:name w:val="List Table 4 - Accent 2"/>
    <w:basedOn w:val="848"/>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3" w:customStyle="1">
    <w:name w:val="List Table 4 - Accent 3"/>
    <w:basedOn w:val="848"/>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4" w:customStyle="1">
    <w:name w:val="List Table 4 - Accent 4"/>
    <w:basedOn w:val="848"/>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5" w:customStyle="1">
    <w:name w:val="List Table 4 - Accent 5"/>
    <w:basedOn w:val="84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6" w:customStyle="1">
    <w:name w:val="List Table 4 - Accent 6"/>
    <w:basedOn w:val="848"/>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7" w:customStyle="1">
    <w:name w:val="List Table 5 Dark"/>
    <w:basedOn w:val="8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basedOn w:val="848"/>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basedOn w:val="848"/>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basedOn w:val="84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basedOn w:val="848"/>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basedOn w:val="848"/>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basedOn w:val="848"/>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basedOn w:val="8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basedOn w:val="848"/>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6" w:customStyle="1">
    <w:name w:val="List Table 6 Colorful - Accent 2"/>
    <w:basedOn w:val="848"/>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7" w:customStyle="1">
    <w:name w:val="List Table 6 Colorful - Accent 3"/>
    <w:basedOn w:val="848"/>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8" w:customStyle="1">
    <w:name w:val="List Table 6 Colorful - Accent 4"/>
    <w:basedOn w:val="848"/>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9" w:customStyle="1">
    <w:name w:val="List Table 6 Colorful - Accent 5"/>
    <w:basedOn w:val="848"/>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90" w:customStyle="1">
    <w:name w:val="List Table 6 Colorful - Accent 6"/>
    <w:basedOn w:val="84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1" w:customStyle="1">
    <w:name w:val="List Table 7 Colorful"/>
    <w:basedOn w:val="8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basedOn w:val="848"/>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basedOn w:val="84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basedOn w:val="84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basedOn w:val="848"/>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basedOn w:val="84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basedOn w:val="84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8" w:customStyle="1">
    <w:name w:val="Lined - Accent"/>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0" w:customStyle="1">
    <w:name w:val="Lined - Accent 2"/>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1" w:customStyle="1">
    <w:name w:val="Lined - Accent 3"/>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2" w:customStyle="1">
    <w:name w:val="Lined - Accent 4"/>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3" w:customStyle="1">
    <w:name w:val="Lined - Accent 5"/>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4" w:customStyle="1">
    <w:name w:val="Lined - Accent 6"/>
    <w:basedOn w:val="8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5" w:customStyle="1">
    <w:name w:val="Bordered &amp; Lined - Accent"/>
    <w:basedOn w:val="8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basedOn w:val="848"/>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7" w:customStyle="1">
    <w:name w:val="Bordered &amp; Lined - Accent 2"/>
    <w:basedOn w:val="848"/>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8" w:customStyle="1">
    <w:name w:val="Bordered &amp; Lined - Accent 3"/>
    <w:basedOn w:val="84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9" w:customStyle="1">
    <w:name w:val="Bordered &amp; Lined - Accent 4"/>
    <w:basedOn w:val="84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0" w:customStyle="1">
    <w:name w:val="Bordered &amp; Lined - Accent 5"/>
    <w:basedOn w:val="84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1" w:customStyle="1">
    <w:name w:val="Bordered &amp; Lined - Accent 6"/>
    <w:basedOn w:val="84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2" w:customStyle="1">
    <w:name w:val="Bordered"/>
    <w:basedOn w:val="8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basedOn w:val="84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4" w:customStyle="1">
    <w:name w:val="Bordered - Accent 2"/>
    <w:basedOn w:val="84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5" w:customStyle="1">
    <w:name w:val="Bordered - Accent 3"/>
    <w:basedOn w:val="84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6" w:customStyle="1">
    <w:name w:val="Bordered - Accent 4"/>
    <w:basedOn w:val="84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7" w:customStyle="1">
    <w:name w:val="Bordered - Accent 5"/>
    <w:basedOn w:val="84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8" w:customStyle="1">
    <w:name w:val="Bordered - Accent 6"/>
    <w:basedOn w:val="84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9" w:customStyle="1">
    <w:name w:val="Footnote Text Char"/>
    <w:link w:val="863"/>
    <w:uiPriority w:val="99"/>
    <w:qFormat/>
    <w:rPr>
      <w:sz w:val="18"/>
    </w:rPr>
  </w:style>
  <w:style w:type="character" w:styleId="1020" w:customStyle="1">
    <w:name w:val="Endnote Text Char"/>
    <w:link w:val="857"/>
    <w:uiPriority w:val="99"/>
    <w:qFormat/>
    <w:rPr>
      <w:sz w:val="20"/>
    </w:rPr>
  </w:style>
  <w:style w:type="paragraph" w:styleId="1021" w:customStyle="1">
    <w:name w:val="TOC Heading"/>
    <w:uiPriority w:val="39"/>
    <w:unhideWhenUsed/>
    <w:qFormat/>
    <w:rPr>
      <w:rFonts w:hint="default" w:asciiTheme="minorHAnsi" w:hAnsiTheme="minorHAnsi" w:eastAsiaTheme="minorEastAsia" w:cstheme="minorBidi"/>
    </w:rPr>
  </w:style>
  <w:style w:type="paragraph" w:styleId="1022" w:customStyle="1">
    <w:name w:val="正文文本缩进11"/>
    <w:basedOn w:val="837"/>
    <w:next w:val="837"/>
    <w:uiPriority w:val="0"/>
    <w:qFormat/>
    <w:pPr>
      <w:ind w:firstLine="225"/>
    </w:pPr>
    <w:rPr>
      <w:rFonts w:ascii="仿宋_GB2312" w:eastAsia="仿宋_GB2312"/>
      <w:sz w:val="32"/>
    </w:rPr>
  </w:style>
  <w:style w:type="paragraph" w:styleId="1023" w:customStyle="1">
    <w:name w:val="普通正文"/>
    <w:basedOn w:val="837"/>
    <w:uiPriority w:val="0"/>
    <w:qFormat/>
    <w:pPr>
      <w:ind w:firstLine="480"/>
      <w:spacing w:before="120" w:after="120" w:line="360" w:lineRule="auto"/>
    </w:pPr>
    <w:rPr>
      <w:rFonts w:ascii="Arial" w:hAnsi="Arial"/>
      <w:sz w:val="24"/>
      <w:szCs w:val="24"/>
    </w:rPr>
  </w:style>
  <w:style w:type="paragraph" w:styleId="1024" w:customStyle="1">
    <w:name w:val="正文空2字"/>
    <w:basedOn w:val="1025"/>
    <w:uiPriority w:val="99"/>
    <w:qFormat/>
    <w:pPr>
      <w:ind w:firstLine="640"/>
      <w:spacing w:line="560" w:lineRule="exact"/>
      <w:widowControl w:val="off"/>
    </w:pPr>
    <w:rPr>
      <w:rFonts w:ascii="仿宋_GB2312" w:hAnsi="仿宋_GB2312" w:cs="仿宋_GB2312"/>
      <w:lang w:val="zh-TW"/>
    </w:rPr>
  </w:style>
  <w:style w:type="paragraph" w:styleId="1025" w:customStyle="1">
    <w:name w:val="左对齐正文"/>
    <w:uiPriority w:val="99"/>
    <w:qFormat/>
    <w:rPr>
      <w:rFonts w:hint="default" w:ascii="Calibri" w:hAnsi="Calibri" w:eastAsia="仿宋_GB2312" w:cs="Calibri"/>
      <w:sz w:val="32"/>
      <w:szCs w:val="32"/>
      <w:lang w:val="en-US" w:eastAsia="zh-CN" w:bidi="ar-SA"/>
    </w:rPr>
  </w:style>
  <w:style w:type="paragraph" w:styleId="1026" w:customStyle="1">
    <w:name w:val="首行缩进"/>
    <w:basedOn w:val="837"/>
    <w:uiPriority w:val="0"/>
    <w:qFormat/>
    <w:pPr>
      <w:ind w:firstLine="480"/>
    </w:pPr>
    <w:rPr>
      <w:rFonts w:ascii="Times New Roman" w:hAnsi="Times New Roman" w:cs="Times New Roman"/>
      <w:lang w:val="zh-CN"/>
    </w:rPr>
  </w:style>
  <w:style w:type="table" w:styleId="1027" w:customStyle="1">
    <w:name w:val="网格型1"/>
    <w:basedOn w:val="1028"/>
    <w:uiPriority w:val="0"/>
    <w:qFormat/>
    <w:pPr>
      <w:jc w:val="both"/>
      <w:widowControl w:val="off"/>
    </w:pPr>
    <w:tblPr/>
  </w:style>
  <w:style w:type="table" w:styleId="1028" w:customStyle="1">
    <w:name w:val="普通表格1"/>
    <w:uiPriority w:val="99"/>
    <w:unhideWhenUsed/>
    <w:qFormat/>
    <w:tblPr/>
  </w:style>
  <w:style w:type="paragraph" w:styleId="10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Char"/>
    <w:basedOn w:val="837"/>
    <w:uiPriority w:val="0"/>
    <w:qFormat/>
    <w:pPr>
      <w:ind w:firstLine="200"/>
      <w:tabs>
        <w:tab w:val="left" w:pos="360" w:leader="none"/>
      </w:tabs>
    </w:pPr>
    <w:rPr>
      <w:sz w:val="28"/>
      <w:szCs w:val="30"/>
    </w:rPr>
  </w:style>
  <w:style w:type="paragraph" w:styleId="1033" w:customStyle="1">
    <w:name w:val="Normal_12_0"/>
    <w:uiPriority w:val="0"/>
    <w:qFormat/>
    <w:rPr>
      <w:rFonts w:hint="default" w:ascii="黑体" w:hAnsi="黑体" w:eastAsia="黑体" w:cs="Times New Roman"/>
      <w:b/>
      <w:sz w:val="32"/>
      <w:szCs w:val="24"/>
      <w:lang w:val="en-US" w:eastAsia="zh-CN" w:bidi="ar-SA"/>
    </w:rPr>
  </w:style>
  <w:style w:type="paragraph" w:styleId="1034" w:customStyle="1">
    <w:name w:val="正文_12_0_0_0_0"/>
    <w:basedOn w:val="837"/>
    <w:uiPriority w:val="0"/>
    <w:qFormat/>
    <w:rPr>
      <w:rFonts w:ascii="Times New Roman" w:hAnsi="Times New Roman"/>
      <w:szCs w:val="24"/>
    </w:rPr>
  </w:style>
  <w:style w:type="paragraph" w:styleId="10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Normal_20"/>
    <w:uiPriority w:val="0"/>
    <w:qFormat/>
    <w:rPr>
      <w:rFonts w:hint="default" w:ascii="黑体" w:hAnsi="黑体" w:eastAsia="黑体" w:cs="黑体"/>
      <w:b/>
      <w:sz w:val="32"/>
      <w:szCs w:val="24"/>
      <w:lang w:val="en-US" w:eastAsia="zh-CN" w:bidi="ar-SA"/>
    </w:rPr>
  </w:style>
  <w:style w:type="paragraph" w:styleId="103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40" w:customStyle="1">
    <w:name w:val="font11"/>
    <w:basedOn w:val="847"/>
    <w:uiPriority w:val="0"/>
    <w:qFormat/>
    <w:rPr>
      <w:rFonts w:hint="eastAsia" w:ascii="宋体" w:hAnsi="宋体" w:eastAsia="宋体" w:cs="宋体"/>
      <w:color w:val="000000"/>
      <w:sz w:val="20"/>
      <w:szCs w:val="20"/>
      <w:u w:val="none"/>
    </w:rPr>
  </w:style>
  <w:style w:type="character" w:styleId="1041" w:customStyle="1">
    <w:name w:val="font01"/>
    <w:basedOn w:val="847"/>
    <w:uiPriority w:val="0"/>
    <w:qFormat/>
    <w:rPr>
      <w:rFonts w:hint="default" w:ascii="Arial" w:hAnsi="Arial" w:cs="Arial"/>
      <w:color w:val="000000"/>
      <w:sz w:val="20"/>
      <w:szCs w:val="20"/>
      <w:u w:val="none"/>
    </w:rPr>
  </w:style>
  <w:style w:type="paragraph" w:styleId="1042" w:customStyle="1">
    <w:name w:val="普通(网站)1"/>
    <w:basedOn w:val="837"/>
    <w:uiPriority w:val="0"/>
    <w:qFormat/>
    <w:pPr>
      <w:jc w:val="left"/>
      <w:spacing w:beforeAutospacing="1" w:afterAutospacing="1"/>
    </w:pPr>
    <w:rPr>
      <w:sz w:val="24"/>
    </w:rPr>
  </w:style>
  <w:style w:type="paragraph" w:styleId="1043" w:customStyle="1">
    <w:name w:val="章标题"/>
    <w:next w:val="1044"/>
    <w:uiPriority w:val="0"/>
    <w:qFormat/>
    <w:pPr>
      <w:jc w:val="both"/>
      <w:outlineLvl w:val="1"/>
    </w:pPr>
    <w:rPr>
      <w:rFonts w:ascii="黑体" w:hAnsi="Times New Roman" w:eastAsia="黑体" w:cs="Times New Roman"/>
      <w:sz w:val="21"/>
      <w:szCs w:val="22"/>
      <w:lang w:val="en-US" w:eastAsia="zh-CN" w:bidi="ar-SA"/>
    </w:rPr>
  </w:style>
  <w:style w:type="paragraph" w:styleId="1044" w:customStyle="1">
    <w:name w:val="段"/>
    <w:uiPriority w:val="0"/>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paragraph" w:styleId="1045" w:customStyle="1">
    <w:name w:val="一级条标题"/>
    <w:next w:val="1044"/>
    <w:uiPriority w:val="0"/>
    <w:qFormat/>
    <w:pPr>
      <w:outlineLvl w:val="2"/>
    </w:pPr>
    <w:rPr>
      <w:rFonts w:ascii="黑体" w:hAnsi="Times New Roman" w:eastAsia="黑体" w:cs="Times New Roman"/>
      <w:sz w:val="21"/>
      <w:szCs w:val="21"/>
      <w:lang w:val="en-US" w:eastAsia="zh-CN" w:bidi="ar-SA"/>
    </w:rPr>
  </w:style>
  <w:style w:type="paragraph" w:styleId="1046" w:customStyle="1">
    <w:name w:val="正文图标题"/>
    <w:next w:val="1044"/>
    <w:uiPriority w:val="0"/>
    <w:qFormat/>
    <w:pPr>
      <w:numPr>
        <w:ilvl w:val="0"/>
        <w:numId w:val="1"/>
      </w:numPr>
      <w:jc w:val="center"/>
    </w:pPr>
    <w:rPr>
      <w:rFonts w:ascii="黑体" w:hAnsi="Times New Roman" w:eastAsia="黑体" w:cs="Times New Roman"/>
      <w:sz w:val="21"/>
      <w:lang w:val="en-US" w:eastAsia="zh-CN" w:bidi="ar-SA"/>
    </w:rPr>
  </w:style>
  <w:style w:type="paragraph" w:styleId="1047" w:customStyle="1">
    <w:name w:val="正文表标题"/>
    <w:next w:val="1044"/>
    <w:uiPriority w:val="0"/>
    <w:qFormat/>
    <w:pPr>
      <w:numPr>
        <w:ilvl w:val="0"/>
        <w:numId w:val="2"/>
      </w:numPr>
      <w:jc w:val="center"/>
    </w:pPr>
    <w:rPr>
      <w:rFonts w:ascii="黑体" w:hAnsi="Times New Roman" w:eastAsia="黑体" w:cs="Times New Roman"/>
      <w:sz w:val="21"/>
      <w:lang w:val="en-US" w:eastAsia="zh-CN" w:bidi="ar-SA"/>
    </w:rPr>
  </w:style>
  <w:style w:type="paragraph" w:styleId="1048" w:customStyle="1">
    <w:name w:val="二级条标题"/>
    <w:basedOn w:val="1045"/>
    <w:next w:val="1044"/>
    <w:uiPriority w:val="0"/>
    <w:qFormat/>
    <w:pPr>
      <w:spacing w:before="50" w:after="50"/>
      <w:outlineLvl w:val="3"/>
    </w:pPr>
    <w:rPr>
      <w:rFonts w:ascii="黑体" w:hAnsi="Times New Roman" w:eastAsia="黑体" w:cs="Times New Roman"/>
      <w:sz w:val="21"/>
      <w:szCs w:val="21"/>
      <w:lang w:val="en-US" w:eastAsia="zh-CN" w:bidi="ar-SA"/>
    </w:rPr>
  </w:style>
  <w:style w:type="paragraph" w:styleId="1049" w:customStyle="1">
    <w:name w:val="三级条标题"/>
    <w:basedOn w:val="1048"/>
    <w:next w:val="1044"/>
    <w:uiPriority w:val="0"/>
    <w:qFormat/>
    <w:pPr>
      <w:spacing w:before="50" w:after="50"/>
      <w:outlineLvl w:val="4"/>
    </w:pPr>
    <w:rPr>
      <w:rFonts w:ascii="黑体" w:hAnsi="Times New Roman" w:eastAsia="黑体" w:cs="Times New Roman"/>
      <w:sz w:val="21"/>
      <w:szCs w:val="21"/>
      <w:lang w:val="en-US" w:eastAsia="zh-CN" w:bidi="ar-SA"/>
    </w:rPr>
  </w:style>
  <w:style w:type="character" w:styleId="1050" w:customStyle="1">
    <w:name w:val="二级条标题 Char"/>
    <w:uiPriority w:val="0"/>
    <w:qFormat/>
    <w:rPr>
      <w:rFonts w:ascii="黑体" w:eastAsia="黑体" w:cs="黑体"/>
      <w:sz w:val="21"/>
      <w:szCs w:val="21"/>
      <w:lang w:val="en-US" w:eastAsia="zh-CN" w:bidi="ar-SA"/>
    </w:rPr>
  </w:style>
  <w:style w:type="paragraph" w:styleId="1051" w:customStyle="1">
    <w:name w:val="正文1"/>
    <w:basedOn w:val="1052"/>
    <w:uiPriority w:val="0"/>
    <w:qFormat/>
    <w:pPr>
      <w:ind w:left="420" w:firstLine="527"/>
      <w:spacing w:before="120" w:line="360" w:lineRule="auto"/>
    </w:pPr>
    <w:rPr>
      <w:rFonts w:ascii="宋体" w:hAnsi="宋体"/>
    </w:rPr>
  </w:style>
  <w:style w:type="paragraph" w:styleId="1052" w:customStyle="1">
    <w:name w:val="正文11"/>
    <w:next w:val="1053"/>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无间隔11"/>
    <w:uiPriority w:val="0"/>
    <w:qFormat/>
    <w:rPr>
      <w:rFonts w:ascii="Times New Roman" w:hAnsi="Times New Roman" w:eastAsia="宋体" w:cs="Times New Roman"/>
      <w:sz w:val="22"/>
      <w:szCs w:val="22"/>
      <w:lang w:val="en-US" w:eastAsia="en-US" w:bidi="ar-SA"/>
    </w:rPr>
  </w:style>
  <w:style w:type="paragraph" w:styleId="1054" w:customStyle="1">
    <w:name w:val="附录标识"/>
    <w:next w:val="1044"/>
    <w:uiPriority w:val="0"/>
    <w:qFormat/>
    <w:pPr>
      <w:jc w:val="center"/>
      <w:keepNext/>
      <w:spacing w:before="640" w:after="280"/>
      <w:shd w:val="clear" w:color="ffffff" w:fill="ffffff"/>
      <w:widowControl/>
      <w:tabs>
        <w:tab w:val="left" w:pos="6405" w:leader="none"/>
      </w:tabs>
      <w:outlineLvl w:val="0"/>
    </w:pPr>
    <w:rPr>
      <w:rFonts w:ascii="黑体" w:hAnsi="Times New Roman" w:eastAsia="黑体" w:cs="Times New Roman"/>
      <w:sz w:val="20"/>
      <w:szCs w:val="20"/>
      <w:lang w:val="en-US" w:eastAsia="zh-CN" w:bidi="ar-SA"/>
    </w:rPr>
  </w:style>
  <w:style w:type="paragraph" w:styleId="1055" w:customStyle="1">
    <w:name w:val="附录章标题"/>
    <w:next w:val="1044"/>
    <w:uiPriority w:val="0"/>
    <w:qFormat/>
    <w:pPr>
      <w:jc w:val="both"/>
      <w:outlineLvl w:val="1"/>
    </w:pPr>
    <w:rPr>
      <w:rFonts w:ascii="黑体" w:hAnsi="Times New Roman" w:eastAsia="黑体" w:cs="Times New Roman"/>
      <w:sz w:val="21"/>
      <w:lang w:val="en-US" w:eastAsia="zh-CN" w:bidi="ar-SA"/>
    </w:rPr>
  </w:style>
  <w:style w:type="paragraph" w:styleId="1056" w:customStyle="1">
    <w:name w:val="附录图标题"/>
    <w:next w:val="1044"/>
    <w:uiPriority w:val="0"/>
    <w:qFormat/>
    <w:pPr>
      <w:jc w:val="center"/>
      <w:widowControl w:val="off"/>
      <w:tabs>
        <w:tab w:val="left" w:pos="363" w:leader="none"/>
      </w:tabs>
    </w:pPr>
    <w:rPr>
      <w:rFonts w:ascii="黑体" w:hAnsi="Times New Roman" w:eastAsia="黑体" w:cs="Times New Roman"/>
      <w:sz w:val="21"/>
      <w:szCs w:val="21"/>
      <w:lang w:val="en-US" w:eastAsia="zh-CN" w:bidi="ar-SA"/>
    </w:rPr>
  </w:style>
  <w:style w:type="paragraph" w:styleId="1057" w:customStyle="1">
    <w:name w:val="附录一级条标题"/>
    <w:basedOn w:val="1055"/>
    <w:next w:val="1044"/>
    <w:uiPriority w:val="0"/>
    <w:qFormat/>
    <w:pPr>
      <w:jc w:val="both"/>
      <w:tabs>
        <w:tab w:val="left" w:pos="360" w:leader="none"/>
      </w:tabs>
      <w:outlineLvl w:val="2"/>
    </w:pPr>
    <w:rPr>
      <w:rFonts w:ascii="黑体" w:hAnsi="Times New Roman" w:eastAsia="黑体" w:cs="Times New Roman"/>
      <w:sz w:val="21"/>
      <w:lang w:val="en-US" w:eastAsia="zh-CN" w:bidi="ar-SA"/>
    </w:rPr>
  </w:style>
  <w:style w:type="paragraph" w:styleId="1058" w:customStyle="1">
    <w:name w:val="正文文本首行缩进1"/>
    <w:basedOn w:val="852"/>
    <w:uiPriority w:val="0"/>
    <w:qFormat/>
    <w:pPr>
      <w:ind w:firstLine="420"/>
      <w:jc w:val="left"/>
      <w:spacing w:after="120"/>
      <w:widowControl/>
    </w:pPr>
    <w:rPr>
      <w:rFonts w:ascii="Times New Roman" w:hAnsi="Times New Roman" w:eastAsia="仿宋_GB2312" w:cs="Times New Roman"/>
      <w:sz w:val="21"/>
      <w:szCs w:val="32"/>
      <w:lang w:val="en-US" w:eastAsia="zh-CN" w:bidi="ar-SA"/>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png"/><Relationship Id="rId24" Type="http://schemas.openxmlformats.org/officeDocument/2006/relationships/image" Target="media/image5.jpg"/><Relationship Id="rId25" Type="http://schemas.openxmlformats.org/officeDocument/2006/relationships/image" Target="media/image6.jpg"/><Relationship Id="rId26" Type="http://schemas.openxmlformats.org/officeDocument/2006/relationships/image" Target="media/image7.png"/><Relationship Id="rId27" Type="http://schemas.openxmlformats.org/officeDocument/2006/relationships/image" Target="media/image8.jpg"/><Relationship Id="rId28" Type="http://schemas.openxmlformats.org/officeDocument/2006/relationships/image" Target="media/image9.jpg"/><Relationship Id="rId29" Type="http://schemas.openxmlformats.org/officeDocument/2006/relationships/image" Target="media/image10.png"/><Relationship Id="rId30" Type="http://schemas.openxmlformats.org/officeDocument/2006/relationships/image" Target="media/image11.jpg"/><Relationship Id="rId31" Type="http://schemas.openxmlformats.org/officeDocument/2006/relationships/image" Target="media/image12.jpg"/><Relationship Id="rId32" Type="http://schemas.openxmlformats.org/officeDocument/2006/relationships/image" Target="media/image13.jpg"/><Relationship Id="rId33" Type="http://schemas.openxmlformats.org/officeDocument/2006/relationships/image" Target="media/image14.jpg"/><Relationship Id="rId34" Type="http://schemas.openxmlformats.org/officeDocument/2006/relationships/image" Target="media/image15.jpg"/><Relationship Id="rId35" Type="http://schemas.openxmlformats.org/officeDocument/2006/relationships/image" Target="media/image16.png"/><Relationship Id="rId36" Type="http://schemas.openxmlformats.org/officeDocument/2006/relationships/image" Target="media/image17.jp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jp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jpg"/><Relationship Id="rId46" Type="http://schemas.openxmlformats.org/officeDocument/2006/relationships/image" Target="media/image27.jpg"/><Relationship Id="rId47" Type="http://schemas.openxmlformats.org/officeDocument/2006/relationships/image" Target="media/image28.png"/><Relationship Id="rId48" Type="http://schemas.openxmlformats.org/officeDocument/2006/relationships/image" Target="media/image29.jp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jp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jpg"/><Relationship Id="rId58" Type="http://schemas.openxmlformats.org/officeDocument/2006/relationships/image" Target="media/image39.jpg"/><Relationship Id="rId59" Type="http://schemas.openxmlformats.org/officeDocument/2006/relationships/image" Target="media/image40.jpg"/><Relationship Id="rId60" Type="http://schemas.openxmlformats.org/officeDocument/2006/relationships/image" Target="media/image41.png"/><Relationship Id="rId61" Type="http://schemas.openxmlformats.org/officeDocument/2006/relationships/image" Target="media/image42.jpg"/><Relationship Id="rId62" Type="http://schemas.openxmlformats.org/officeDocument/2006/relationships/image" Target="media/image43.jpg"/><Relationship Id="rId63" Type="http://schemas.openxmlformats.org/officeDocument/2006/relationships/image" Target="media/image44.jpg"/><Relationship Id="rId64" Type="http://schemas.openxmlformats.org/officeDocument/2006/relationships/image" Target="media/image45.jpg"/><Relationship Id="rId65" Type="http://schemas.openxmlformats.org/officeDocument/2006/relationships/image" Target="media/image46.png"/><Relationship Id="rId66" Type="http://schemas.openxmlformats.org/officeDocument/2006/relationships/image" Target="media/image47.jp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jp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jpg"/><Relationship Id="rId79" Type="http://schemas.openxmlformats.org/officeDocument/2006/relationships/image" Target="media/image6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7ed6c6ad-c63c-4ed7-9504-2df7151ddcff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54DEDBED</paraID>
      <start xmlns="http://schemas.wps.cn/vas-ai-hub/contract-review">131</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cc06d656-1fb5-4716-be80-3d0c356e3475</errorID>
      <errorWord xmlns="http://schemas.wps.cn/vas-ai-hub/contract-review">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子文</item>
      </candidateList>
      <explain xmlns="http://schemas.wps.cn/vas-ai-hub/contract-review"/>
      <paraID xmlns="http://schemas.wps.cn/vas-ai-hub/contract-review">65B2E549</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3963fc3f-0bc8-4a42-9e86-df14704dc046</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71BD33F5</paraID>
      <start xmlns="http://schemas.wps.cn/vas-ai-hub/contract-review">68</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52930a3c-13a3-4dd1-b9cd-d5567a09024e</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57DC4894</paraID>
      <start xmlns="http://schemas.wps.cn/vas-ai-hub/contract-review">19</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6c07b99f-6285-4218-9c99-e63b5ed3efb4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220183EC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cecc5554-dec2-430f-b1f6-316539fea0e4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47914E27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e3c5f96b-371b-42a8-84a2-e16d3d2a64ad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16B4F197</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feb7b0f2-70c4-4893-9267-e75463d8e1a4</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418338CC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20d9235c-ece3-482e-8403-594e49f51201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5AAE9D94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b3d44617-da2e-42ea-b7ea-52a8256b8274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eb1a6480-d846-4cbb-a35e-e8cdae40e536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17e2230d-7cd8-453d-98dc-8ce5e9aa5fe9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856FE4A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f34d25bf-629f-4f65-9636-de795cb57434</errorID>
      <errorWord xmlns="http://schemas.wps.cn/vas-ai-hub/contract-review">【2024】12号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〔2024〕12号</item>
      </candidateList>
      <explain xmlns="http://schemas.wps.cn/vas-ai-hub/contract-review">发文字号格式错误。</explain>
      <paraID xmlns="http://schemas.wps.cn/vas-ai-hub/contract-review">212616CA</paraID>
      <start xmlns="http://schemas.wps.cn/vas-ai-hub/contract-review">61</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a8196b29-a3e0-4641-a146-096b03ed2d40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3D49EED4</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ba97475c-f937-4874-94f5-1ddcb7da3d40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5108659A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6ea0e7e3-9ad9-4f82-b885-232b7e6098f3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4D2BCCAE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598cf63a-5507-4c79-abbc-70fdf723e487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9BCF33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72cba55f-8240-4667-9f03-60425ba6393e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6C865EBC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fa043da2-954e-45cd-b083-6b15c7109249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BAC51A4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9142ce0e-261e-4c9e-9a66-f1e730ec98e0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5901D572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91f2267f-546a-4ece-9978-c39f2b42a14b</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 D80A257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7cf1917d-ed3f-46f5-abc8-1ce999f8a9bd</errorID>
      <errorWord xmlns="http://schemas.wps.cn/vas-ai-hub/contract-review">包复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包覆</item>
      </candidateList>
      <explain xmlns="http://schemas.wps.cn/vas-ai-hub/contract-review">存在发音相同字词的误用。</explain>
      <paraID xmlns="http://schemas.wps.cn/vas-ai-hub/contract-review">2D868C75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ea6ec3ef-82db-4acf-9c0e-a34ef6945dad</errorID>
      <errorWord xmlns="http://schemas.wps.cn/vas-ai-hub/contract-review">皱折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皱褶</item>
      </candidateList>
      <explain xmlns="http://schemas.wps.cn/vas-ai-hub/contract-review">存在发音相同字词的误用。</explain>
      <paraID xmlns="http://schemas.wps.cn/vas-ai-hub/contract-review">32FA1141</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722a8842-b2ed-467c-9e73-cc6920d1b14b</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62BCF42F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d8d34b03-a3a1-451a-99e2-040e969e669e</errorID>
      <errorWord xmlns="http://schemas.wps.cn/vas-ai-hub/contract-review">形位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定位</item>
      </candidateList>
      <explain xmlns="http://schemas.wps.cn/vas-ai-hub/contract-review"/>
      <paraID xmlns="http://schemas.wps.cn/vas-ai-hub/contract-review">4DA0841C</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c0e9297f-e193-40da-a9d1-c04d3489fc83</errorID>
      <errorWord xmlns="http://schemas.wps.cn/vas-ai-hub/contract-review">不匀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不均</item>
      </candidateList>
      <explain xmlns="http://schemas.wps.cn/vas-ai-hub/contract-review"/>
      <paraID xmlns="http://schemas.wps.cn/vas-ai-hub/contract-review">39DD4E99</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7c407848-b0af-4ffb-a65c-842adb7d5030</errorID>
      <errorWord xmlns="http://schemas.wps.cn/vas-ai-hub/contract-review">进厂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进场</item>
      </candidateList>
      <explain xmlns="http://schemas.wps.cn/vas-ai-hub/contract-review"/>
      <paraID xmlns="http://schemas.wps.cn/vas-ai-hub/contract-review">69E1B86C</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823bad17-cb27-455a-a948-da3407fcfd52</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 8E1A3FD</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a2d44a10-48c1-4589-8841-37b1a4f9cabd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6E0915A9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64de98ab-5623-4891-b88a-4c592cad4b07</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6E0915A9</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6af2785d-fc16-4e88-88c7-fbc81567da88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85571E7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6a995e69-ac52-4e76-aeac-91c2fbf21ef3</errorID>
      <errorWord xmlns="http://schemas.wps.cn/vas-ai-hub/contract-review">其它为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其他为</item>
      </candidateList>
      <explain xmlns="http://schemas.wps.cn/vas-ai-hub/contract-review">词汇[其它为]为不规范表述或旧称，其规范书面表述为[其他为]。</explain>
      <paraID xmlns="http://schemas.wps.cn/vas-ai-hub/contract-review">37EE4465</paraID>
      <start xmlns="http://schemas.wps.cn/vas-ai-hub/contract-review">117</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d0809b6f-c9ec-4084-bcb1-56a591b18d81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67C39296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f7ed3efb-36ae-4f55-b96f-be5b5abb5122</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 81D5557</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a1f2086b-1076-4eeb-994a-d081115d50a1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20BEBE3</paraID>
      <start xmlns="http://schemas.wps.cn/vas-ai-hub/contract-review">230</start>
      <end xmlns="http://schemas.wps.cn/vas-ai-hub/contract-review">232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7f0660c5-9a93-4635-9a89-da738a93e0d2</errorID>
      <errorWord xmlns="http://schemas.wps.cn/vas-ai-hub/contract-review">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呈</item>
      </candidateList>
      <explain xmlns="http://schemas.wps.cn/vas-ai-hub/contract-review">存在发音相同字词的误用。</explain>
      <paraID xmlns="http://schemas.wps.cn/vas-ai-hub/contract-review">50B45F62</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ef18e32b-a910-4109-b99b-3925f25c8118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0955611f-c396-4bdd-a83e-422f2527bf28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ef888c56-b0b7-4d01-a0ba-80cf21d57d3b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4c3ff9fa-15af-4ecf-9789-f0c923a00503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）严</item>
      </candidateList>
      <explain xmlns="http://schemas.wps.cn/vas-ai-hub/contract-review"/>
      <paraID xmlns="http://schemas.wps.cn/vas-ai-hub/contract-review"> 230A9ED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f51ab21d-d1ac-4e60-96a9-42bda064e68f</errorID>
      <errorWord xmlns="http://schemas.wps.cn/vas-ai-hub/contract-review">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判定</item>
      </candidateList>
      <explain xmlns="http://schemas.wps.cn/vas-ai-hub/contract-review"/>
      <paraID xmlns="http://schemas.wps.cn/vas-ai-hub/contract-review">42519E6E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727f7729-e312-40cc-a99a-95d47eeb1bf2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3BCB422F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9083584c-0a0a-4b11-9179-0d534f0d237c</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97f0fa53-c631-4069-b029-053d2d25b6af</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105</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9d3673cc-1773-496c-95fd-a3ab7b1db43a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c657304d-2e5b-46af-b376-6ff8ffe02c6a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95374424-4c46-46cf-b5b2-53213aa4e7e4</errorID>
      <errorWord xmlns="http://schemas.wps.cn/vas-ai-hub/contract-review">顶里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顶</item>
      </candidateList>
      <explain xmlns="http://schemas.wps.cn/vas-ai-hub/contract-review"/>
      <paraID xmlns="http://schemas.wps.cn/vas-ai-hub/contract-review">78EAC6DD</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d39d2dbf-b731-441c-9360-4b412c7213bc</errorID>
      <errorWord xmlns="http://schemas.wps.cn/vas-ai-hub/contract-review">墙里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墙</item>
      </candidateList>
      <explain xmlns="http://schemas.wps.cn/vas-ai-hub/contract-review"/>
      <paraID xmlns="http://schemas.wps.cn/vas-ai-hub/contract-review">1ABD5888</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5d3ebb47-607d-45b4-88a2-bf33c07ea47a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7FA03EB8</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1db12330-29d0-4e5f-9fb2-48e98e14b6fa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54ed5931-10db-49f1-a45f-3675a7dab43d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09c98900-9858-4dca-ab38-5e3a093a0a1e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36e1834b-8292-4681-8dcc-f346a0407774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2c2109ca-d109-493e-a5b3-9bad8942a4c4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9b10a794-6f06-4015-a571-81489c1e96e8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5fa972e2-b4bb-41e3-9d2f-e9dd7d1ced8b</errorID>
      <errorWord xmlns="http://schemas.wps.cn/vas-ai-hub/contract-review">铜板纸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铜版纸</item>
      </candidateList>
      <explain xmlns="http://schemas.wps.cn/vas-ai-hub/contract-review">存在发音相同字词的误用。</explain>
      <paraID xmlns="http://schemas.wps.cn/vas-ai-hub/contract-review">59132F4A</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cd39c350-8886-402c-8d53-5e40d3acd70a</errorID>
      <errorWord xmlns="http://schemas.wps.cn/vas-ai-hub/contract-review">胶板印刷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胶版印刷</item>
      </candidateList>
      <explain xmlns="http://schemas.wps.cn/vas-ai-hub/contract-review">存在发音相同字词的误用。</explain>
      <paraID xmlns="http://schemas.wps.cn/vas-ai-hub/contract-review">2870B841</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5a062c8e-37d2-40d1-90f1-1ebacf99370c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6BA83313</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00e9dc31-96f9-400b-9094-c416359b2382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6C64F122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efb3a9bd-4ff6-45bd-af9c-c3d726254578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d8adca69-65e1-4f82-aef3-42ca9374c1d1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9d2ccc76-0a6c-455e-a774-2aafdbc4f66a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83a2bc1a-20ee-46f1-aca0-98aa1a673b05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032a3f1e-f798-4914-afb1-46844f5187c0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163acb36-dc16-400e-975a-c69b51e3d739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3d8c0681-67b0-46aa-b999-68bac7e71e0d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504C2108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193405e9-990c-45b7-837c-2d39146fd037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311106BB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ec69b370-3ff3-4549-8724-4d9ecdf41f3a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c56c9d28-2901-4a54-a7cf-2669a5fd6bd1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d421b08f-5f9d-43f5-b259-1dda40b1df8f</errorID>
      <errorWord xmlns="http://schemas.wps.cn/vas-ai-hub/contract-review">Ｒ</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R</item>
      </candidateList>
      <explain xmlns="http://schemas.wps.cn/vas-ai-hub/contract-review">文本全半角错误。</explain>
      <paraID xmlns="http://schemas.wps.cn/vas-ai-hub/contract-review">4450AF9D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f42dff28-58ed-4323-b010-4a675a52a21e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2246a108-f309-4e8d-8e51-98700d44f0ab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3ee94432-f311-4f7c-b15a-804ffe54949f</errorID>
      <errorWord xmlns="http://schemas.wps.cn/vas-ai-hub/contract-review">抽插</errorWord>
      <group xmlns="http://schemas.wps.cn/vas-ai-hub/contract-review">L1_Sensitive</group>
      <groupName xmlns="http://schemas.wps.cn/vas-ai-hub/contract-review">敏感问题</groupName>
      <ability xmlns="http://schemas.wps.cn/vas-ai-hub/contract-review">L2_Yellow</ability>
      <abilityName xmlns="http://schemas.wps.cn/vas-ai-hub/contract-review">涉黄内容</abilityName>
      <candidateList xmlns="http://schemas.wps.cn/vas-ai-hub/contract-review"/>
      <explain xmlns="http://schemas.wps.cn/vas-ai-hub/contract-review">【涉黄词条】句中包含涉黄敏感词条，请注意甄别。</explain>
      <paraID xmlns="http://schemas.wps.cn/vas-ai-hub/contract-review">19518673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25e7328f-80e7-4273-abdb-4c52363df78e</errorID>
      <errorWord xmlns="http://schemas.wps.cn/vas-ai-hub/contract-review">11～13%</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11%～13%</item>
      </candidateList>
      <explain xmlns="http://schemas.wps.cn/vas-ai-hub/contract-review">1. “11～13%”中的单位“%”仅出现在后一个数字上，容易引起歧义；根据《现代汉语标点符号数字用法规范手册》，数字表示范围两边需要使用统一的格式。2.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79379029</paraID>
      <start xmlns="http://schemas.wps.cn/vas-ai-hub/contract-review">26</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e13efbb8-a42b-4c11-a189-ca15b9a94615</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e39b1512-7670-41af-a4ce-204bd9651573</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6945ce97-272e-4cca-a849-37d4cb34002b</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应根</item>
      </candidateList>
      <explain xmlns="http://schemas.wps.cn/vas-ai-hub/contract-review"/>
      <paraID xmlns="http://schemas.wps.cn/vas-ai-hub/contract-review">6371330F</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f10a2691-b4bd-46cd-9f1c-ab42f0fb58cb</errorID>
      <errorWord xmlns="http://schemas.wps.cn/vas-ai-hub/contract-review">国家市场监督管理局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国家市场监督管理总局</item>
      </candidateList>
      <explain xmlns="http://schemas.wps.cn/vas-ai-hub/contract-review"/>
      <paraID xmlns="http://schemas.wps.cn/vas-ai-hub/contract-review"> 3533880</paraID>
      <start xmlns="http://schemas.wps.cn/vas-ai-hub/contract-review">51</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c602be7c-04df-4cf1-acee-7031789afdfc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22B3720D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4c654dda-8ef9-4f1d-956d-b65aea596b58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22B3720D</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e6fb47cd-25ee-49f1-81a4-310455e441c3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348DB554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ced070c2-2cea-4be9-8781-d6e1a2c90e1f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28302E7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c3abd0dc-9dbc-4a86-bf87-24949d189330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6C38B26B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6c7b77d7-10ff-4867-b9fa-c43ceca57b5c</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存在发音相同字词的误用。</explain>
      <paraID xmlns="http://schemas.wps.cn/vas-ai-hub/contract-review">6C38B26B</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6b45b402-9658-41fc-9d63-40d566cafa4c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5FBE8037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f0f3b47e-1d49-41c7-b8fe-9026c17fcd98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2F931A99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3981197c-cd08-48b7-b468-a4ee5d296df6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2D20667B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6796b31a-be52-4a20-90ea-4f12ae76f9e7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2D20667B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50e9e9e0-751f-418d-97f9-5bf8f98f40e2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2D20667B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453eff92-586b-4e9d-a1ba-9e5c08cc181b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2F78A624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c3b8a0e5-a172-4a8d-97e8-c9a9c49e54bb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2F78A624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2586ab71-dfc7-4c39-a161-5d68602df6d9</errorID>
      <errorWord xmlns="http://schemas.wps.cn/vas-ai-hub/contract-review">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求和</item>
      </candidateList>
      <explain xmlns="http://schemas.wps.cn/vas-ai-hub/contract-review"/>
      <paraID xmlns="http://schemas.wps.cn/vas-ai-hub/contract-review">4C143CA9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09b2e02c-2f72-44d1-b432-15eda2ce8909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4C143CA9</paraID>
      <start xmlns="http://schemas.wps.cn/vas-ai-hub/contract-review">106</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457d5489-143d-446a-bc17-f173918f4a13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7A803905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9d57b47f-ca7e-4e92-87fb-b2e8fc9cc6ba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7A803905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59bba34f-1562-42ab-b527-57efccfd3d70</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7A803905</paraID>
      <start xmlns="http://schemas.wps.cn/vas-ai-hub/contract-review">65</start>
      <end xmlns="http://schemas.wps.cn/vas-ai-hub/contract-review">67</end>
      <status xmlns="http://schemas.wps.cn/vas-ai-hub/contract-review">modified</status>
      <modifiedWord xmlns="http://schemas.wps.cn/vas-ai-hub/contract-review">程中</modifiedWord>
      <trackRevisions xmlns="http://schemas.wps.cn/vas-ai-hub/contract-review">false</trackRevisions>
    </reviewItem>
    <reviewItem xmlns="http://schemas.wps.cn/vas-ai-hub/contract-review">
      <errorID xmlns="http://schemas.wps.cn/vas-ai-hub/contract-review">d07b3992-773a-47fc-be12-104d0e940abd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3905CC0D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2c58a4c6-dc33-4a52-969b-b548b1dad569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3905CC0D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e64d4db5-52db-45e5-bfe0-9d2a4a64e624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2DCB3E5B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32a06b2c-098e-49ff-a031-02ed30fc8bb1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6844EA1B</paraID>
      <start xmlns="http://schemas.wps.cn/vas-ai-hub/contract-review">114</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1106"/>
    <customShpInfo spid="_x0000_s1107"/>
    <customShpInfo spid="_x0000_s1105"/>
    <customShpInfo spid="_x0000_s1111"/>
    <customShpInfo spid="_x0000_s1113"/>
    <customShpInfo spid="_x0000_s1114"/>
    <customShpInfo spid="_x0000_s1115"/>
    <customShpInfo spid="_x0000_s1116"/>
    <customShpInfo spid="_x0000_s1112"/>
    <customShpInfo spid="_x0000_s1110"/>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17"/>
    <customShpInfo spid="_x0000_s1109"/>
    <customShpInfo spid="_x0000_s1129"/>
    <customShpInfo spid="_x0000_s1130"/>
    <customShpInfo spid="_x0000_s1128"/>
    <customShpInfo spid="_x0000_s1108"/>
    <customShpInfo spid="_x0000_s1132"/>
    <customShpInfo spid="_x0000_s1134"/>
    <customShpInfo spid="_x0000_s1136"/>
    <customShpInfo spid="_x0000_s1137"/>
    <customShpInfo spid="_x0000_s1138"/>
    <customShpInfo spid="_x0000_s1139"/>
    <customShpInfo spid="_x0000_s1140"/>
    <customShpInfo spid="_x0000_s1135"/>
    <customShpInfo spid="_x0000_s1141"/>
    <customShpInfo spid="_x0000_s1133"/>
    <customShpInfo spid="_x0000_s1131"/>
    <customShpInfo spid="_x0000_s1104"/>
    <customShpInfo spid="_x0000_s1142"/>
  </customShpExts>
</s:customData>
</file>

<file path=customXml/itemProps1.xml><?xml version="1.0" encoding="utf-8"?>
<ds:datastoreItem xmlns:ds="http://schemas.openxmlformats.org/officeDocument/2006/customXml" ds:itemID="{B5CB1FDB-A2EE-457C-9E06-7FB7F45CD8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耿荣晨</cp:lastModifiedBy>
  <cp:revision>14</cp:revision>
  <dcterms:created xsi:type="dcterms:W3CDTF">2022-10-10T12:43:00Z</dcterms:created>
  <dcterms:modified xsi:type="dcterms:W3CDTF">2026-07-24T08:22:12Z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4D084690AAF4C7FD83EB5E6A24527EE5_43</vt:lpwstr>
  </property>
  <property fmtid="{D5CDD505-2E9C-101B-9397-08002B2CF9AE}" pid="4" name="KSOTemplateDocerSaveRecord">
    <vt:lpwstr>eyJoZGlkIjoiMjg5M2Y2MjRlNTI1NWM3OTZjZThmM2I5MGEwOTdmNDciLCJ1c2VySWQiOiIyNzA1NTgyNDQifQ==</vt:lpwstr>
  </property>
</Properties>
</file>